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602EB" w14:textId="77777777" w:rsidR="00640C7B" w:rsidRPr="00640C7B" w:rsidRDefault="00640C7B" w:rsidP="00640C7B">
      <w:pPr>
        <w:widowControl w:val="0"/>
        <w:autoSpaceDE w:val="0"/>
        <w:autoSpaceDN w:val="0"/>
        <w:adjustRightInd w:val="0"/>
        <w:rPr>
          <w:rFonts w:ascii="Lucida Sans Unicode" w:hAnsi="Lucida Sans Unicode" w:cs="Lucida Sans Unicode"/>
          <w:color w:val="313131"/>
          <w:sz w:val="28"/>
          <w:szCs w:val="28"/>
        </w:rPr>
      </w:pPr>
      <w:r w:rsidRPr="00640C7B">
        <w:rPr>
          <w:rFonts w:ascii="Helvetica" w:hAnsi="Helvetica" w:cs="Helvetica"/>
          <w:noProof/>
          <w:sz w:val="28"/>
          <w:szCs w:val="28"/>
          <w:lang w:eastAsia="en-US"/>
        </w:rPr>
        <w:drawing>
          <wp:anchor distT="0" distB="0" distL="114300" distR="114300" simplePos="0" relativeHeight="251658240" behindDoc="0" locked="0" layoutInCell="1" allowOverlap="1" wp14:anchorId="2E6575E3" wp14:editId="05686261">
            <wp:simplePos x="0" y="0"/>
            <wp:positionH relativeFrom="column">
              <wp:posOffset>-228600</wp:posOffset>
            </wp:positionH>
            <wp:positionV relativeFrom="paragraph">
              <wp:posOffset>-111760</wp:posOffset>
            </wp:positionV>
            <wp:extent cx="2680335" cy="180403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0335" cy="18040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640C7B">
        <w:rPr>
          <w:rFonts w:ascii="Lucida Sans Unicode" w:hAnsi="Lucida Sans Unicode" w:cs="Lucida Sans Unicode"/>
          <w:color w:val="313131"/>
          <w:sz w:val="28"/>
          <w:szCs w:val="28"/>
        </w:rPr>
        <w:t xml:space="preserve">People are currently mining millions of years’ worth of stored photosynthetic carbon from the solid Earth and transferring it to the atmosphere where it is profoundly changing the chemistry, physics, and biology of the atmosphere, land, and oceans. Exchanges with the oceans and land surface have been modified substantially, so that currently only about half of anthropogenic emissions remain in the atmosphere. These “carbon sinks” are poorly understood, contributing a great deal of uncertainty to future climate. </w:t>
      </w:r>
    </w:p>
    <w:p w14:paraId="71FA9F60" w14:textId="0042D843" w:rsidR="00640C7B" w:rsidRPr="00640C7B" w:rsidRDefault="00640C7B" w:rsidP="00640C7B">
      <w:pPr>
        <w:widowControl w:val="0"/>
        <w:autoSpaceDE w:val="0"/>
        <w:autoSpaceDN w:val="0"/>
        <w:adjustRightInd w:val="0"/>
        <w:rPr>
          <w:rFonts w:ascii="Lucida Sans Unicode" w:hAnsi="Lucida Sans Unicode" w:cs="Lucida Sans Unicode"/>
          <w:i/>
          <w:color w:val="008000"/>
          <w:sz w:val="28"/>
          <w:szCs w:val="28"/>
        </w:rPr>
      </w:pPr>
      <w:r w:rsidRPr="00640C7B">
        <w:rPr>
          <w:rFonts w:ascii="Lucida Sans Unicode" w:hAnsi="Lucida Sans Unicode" w:cs="Lucida Sans Unicode"/>
          <w:i/>
          <w:color w:val="008000"/>
          <w:sz w:val="28"/>
          <w:szCs w:val="28"/>
        </w:rPr>
        <w:t xml:space="preserve">We consider biogeochemical and transport processes in </w:t>
      </w:r>
      <w:r w:rsidR="00BE0FDF" w:rsidRPr="00640C7B">
        <w:rPr>
          <w:rFonts w:ascii="Lucida Sans Unicode" w:hAnsi="Lucida Sans Unicode" w:cs="Lucida Sans Unicode"/>
          <w:i/>
          <w:color w:val="008000"/>
          <w:sz w:val="28"/>
          <w:szCs w:val="28"/>
        </w:rPr>
        <w:t xml:space="preserve">land ecosystems, </w:t>
      </w:r>
      <w:r w:rsidRPr="00640C7B">
        <w:rPr>
          <w:rFonts w:ascii="Lucida Sans Unicode" w:hAnsi="Lucida Sans Unicode" w:cs="Lucida Sans Unicode"/>
          <w:i/>
          <w:color w:val="008000"/>
          <w:sz w:val="28"/>
          <w:szCs w:val="28"/>
        </w:rPr>
        <w:t>the oceans, and atmosphere as well as anthropogenic emissions. We will conclude with a study of changes in carbon cycling in the past and future, including predictions by coupled Earth System Models.</w:t>
      </w:r>
    </w:p>
    <w:p w14:paraId="36C113F2" w14:textId="5D79188C" w:rsidR="00B344AE" w:rsidRDefault="00640C7B" w:rsidP="00640C7B">
      <w:pPr>
        <w:rPr>
          <w:rFonts w:ascii="Lucida Sans Unicode" w:hAnsi="Lucida Sans Unicode" w:cs="Lucida Sans Unicode"/>
          <w:color w:val="313131"/>
          <w:sz w:val="28"/>
          <w:szCs w:val="28"/>
        </w:rPr>
      </w:pPr>
      <w:r w:rsidRPr="00640C7B">
        <w:rPr>
          <w:rFonts w:ascii="Lucida Sans Unicode" w:hAnsi="Lucida Sans Unicode" w:cs="Lucida Sans Unicode"/>
          <w:color w:val="313131"/>
          <w:sz w:val="28"/>
          <w:szCs w:val="28"/>
        </w:rPr>
        <w:t xml:space="preserve">The class format consists of </w:t>
      </w:r>
      <w:r w:rsidRPr="006F50AD">
        <w:rPr>
          <w:rFonts w:ascii="Lucida Sans Unicode" w:hAnsi="Lucida Sans Unicode" w:cs="Lucida Sans Unicode"/>
          <w:b/>
          <w:color w:val="313131"/>
          <w:sz w:val="28"/>
          <w:szCs w:val="28"/>
        </w:rPr>
        <w:t>two formal lectures per week</w:t>
      </w:r>
      <w:r w:rsidRPr="00640C7B">
        <w:rPr>
          <w:rFonts w:ascii="Lucida Sans Unicode" w:hAnsi="Lucida Sans Unicode" w:cs="Lucida Sans Unicode"/>
          <w:color w:val="313131"/>
          <w:sz w:val="28"/>
          <w:szCs w:val="28"/>
        </w:rPr>
        <w:t xml:space="preserve">. Notes will be downloadable in advance from the website. Readings will be assigned each week from textbooks and the current scientific literature. A series of computational exercises will be assigned to develop understanding of the material. </w:t>
      </w:r>
    </w:p>
    <w:p w14:paraId="3FF668F1" w14:textId="47387BAC" w:rsidR="006F50AD" w:rsidRDefault="006F50AD" w:rsidP="00640C7B">
      <w:pPr>
        <w:rPr>
          <w:rFonts w:ascii="Lucida Sans Unicode" w:hAnsi="Lucida Sans Unicode" w:cs="Lucida Sans Unicode"/>
          <w:color w:val="313131"/>
          <w:sz w:val="28"/>
          <w:szCs w:val="28"/>
        </w:rPr>
      </w:pPr>
      <w:r w:rsidRPr="006F50AD">
        <w:rPr>
          <w:rFonts w:ascii="Lucida Sans Unicode" w:hAnsi="Lucida Sans Unicode" w:cs="Lucida Sans Unicode"/>
          <w:b/>
          <w:color w:val="313131"/>
          <w:sz w:val="28"/>
          <w:szCs w:val="28"/>
        </w:rPr>
        <w:t>Course grade is the average of five computational exercises</w:t>
      </w:r>
      <w:r>
        <w:rPr>
          <w:rFonts w:ascii="Lucida Sans Unicode" w:hAnsi="Lucida Sans Unicode" w:cs="Lucida Sans Unicode"/>
          <w:color w:val="313131"/>
          <w:sz w:val="28"/>
          <w:szCs w:val="28"/>
        </w:rPr>
        <w:t xml:space="preserve"> that will be assigned periodically throughout the semester. </w:t>
      </w:r>
    </w:p>
    <w:p w14:paraId="5CED505F" w14:textId="77777777" w:rsidR="006F50AD" w:rsidRDefault="006F50AD" w:rsidP="00640C7B">
      <w:pPr>
        <w:rPr>
          <w:rFonts w:ascii="Lucida Sans Unicode" w:hAnsi="Lucida Sans Unicode" w:cs="Lucida Sans Unicode"/>
          <w:color w:val="313131"/>
          <w:sz w:val="28"/>
          <w:szCs w:val="28"/>
        </w:rPr>
      </w:pPr>
    </w:p>
    <w:p w14:paraId="5CDF85A0" w14:textId="38C05348" w:rsidR="00E92A6C" w:rsidRPr="00E92A6C" w:rsidRDefault="002577FC" w:rsidP="00E92A6C">
      <w:pPr>
        <w:rPr>
          <w:rFonts w:asciiTheme="majorHAnsi" w:hAnsiTheme="majorHAnsi" w:cs="Lucida Sans Unicode"/>
          <w:b/>
          <w:color w:val="008000"/>
          <w:sz w:val="32"/>
          <w:szCs w:val="32"/>
        </w:rPr>
      </w:pPr>
      <w:r>
        <w:rPr>
          <w:rFonts w:ascii="Lucida Sans Unicode" w:hAnsi="Lucida Sans Unicode" w:cs="Lucida Sans Unicode"/>
          <w:color w:val="008000"/>
          <w:sz w:val="48"/>
          <w:szCs w:val="48"/>
        </w:rPr>
        <w:br w:type="page"/>
      </w:r>
      <w:r w:rsidR="00E92A6C" w:rsidRPr="00E92A6C">
        <w:rPr>
          <w:rFonts w:asciiTheme="majorHAnsi" w:hAnsiTheme="majorHAnsi"/>
          <w:b/>
          <w:sz w:val="32"/>
          <w:szCs w:val="32"/>
        </w:rPr>
        <w:lastRenderedPageBreak/>
        <w:t>Schedule of Topics by Week</w:t>
      </w:r>
    </w:p>
    <w:tbl>
      <w:tblPr>
        <w:tblW w:w="16135" w:type="dxa"/>
        <w:tblInd w:w="-6" w:type="dxa"/>
        <w:tblBorders>
          <w:top w:val="nil"/>
          <w:left w:val="nil"/>
          <w:right w:val="nil"/>
        </w:tblBorders>
        <w:tblLayout w:type="fixed"/>
        <w:tblLook w:val="0000" w:firstRow="0" w:lastRow="0" w:firstColumn="0" w:lastColumn="0" w:noHBand="0" w:noVBand="0"/>
      </w:tblPr>
      <w:tblGrid>
        <w:gridCol w:w="1546"/>
        <w:gridCol w:w="5219"/>
        <w:gridCol w:w="3332"/>
        <w:gridCol w:w="3018"/>
        <w:gridCol w:w="3020"/>
      </w:tblGrid>
      <w:tr w:rsidR="00E92A6C" w:rsidRPr="006F50AD" w14:paraId="64C9387B" w14:textId="77777777" w:rsidTr="00E92A6C">
        <w:trPr>
          <w:gridAfter w:val="2"/>
          <w:wAfter w:w="6038" w:type="dxa"/>
          <w:trHeight w:val="270"/>
        </w:trPr>
        <w:tc>
          <w:tcPr>
            <w:tcW w:w="1546" w:type="dxa"/>
            <w:tcMar>
              <w:top w:w="100" w:type="nil"/>
              <w:left w:w="100" w:type="nil"/>
              <w:bottom w:w="100" w:type="nil"/>
              <w:right w:w="100" w:type="nil"/>
            </w:tcMar>
            <w:vAlign w:val="center"/>
          </w:tcPr>
          <w:p w14:paraId="55B1F7AF" w14:textId="507A1002" w:rsidR="006F50AD" w:rsidRPr="006F50AD" w:rsidRDefault="006F50AD" w:rsidP="00FC1EF2">
            <w:pPr>
              <w:widowControl w:val="0"/>
              <w:autoSpaceDE w:val="0"/>
              <w:autoSpaceDN w:val="0"/>
              <w:adjustRightInd w:val="0"/>
              <w:spacing w:after="0"/>
              <w:ind w:right="570"/>
              <w:rPr>
                <w:rFonts w:ascii="Lucida Sans Unicode" w:hAnsi="Lucida Sans Unicode" w:cs="Lucida Sans Unicode"/>
                <w:color w:val="313131"/>
                <w:sz w:val="20"/>
                <w:szCs w:val="20"/>
              </w:rPr>
            </w:pPr>
            <w:r w:rsidRPr="006F50AD">
              <w:rPr>
                <w:rFonts w:ascii="Arial" w:hAnsi="Arial" w:cs="Arial"/>
                <w:bCs/>
                <w:color w:val="313131"/>
                <w:sz w:val="20"/>
                <w:szCs w:val="20"/>
              </w:rPr>
              <w:t>Dates</w:t>
            </w:r>
          </w:p>
        </w:tc>
        <w:tc>
          <w:tcPr>
            <w:tcW w:w="5219" w:type="dxa"/>
            <w:tcMar>
              <w:top w:w="100" w:type="nil"/>
              <w:left w:w="100" w:type="nil"/>
              <w:bottom w:w="100" w:type="nil"/>
              <w:right w:w="100" w:type="nil"/>
            </w:tcMar>
            <w:vAlign w:val="center"/>
          </w:tcPr>
          <w:p w14:paraId="2777DE99" w14:textId="236CE53C" w:rsidR="006F50AD" w:rsidRPr="006F50AD" w:rsidRDefault="006F50AD">
            <w:pPr>
              <w:widowControl w:val="0"/>
              <w:autoSpaceDE w:val="0"/>
              <w:autoSpaceDN w:val="0"/>
              <w:adjustRightInd w:val="0"/>
              <w:spacing w:after="0"/>
              <w:rPr>
                <w:rFonts w:ascii="Lucida Sans Unicode" w:hAnsi="Lucida Sans Unicode" w:cs="Lucida Sans Unicode"/>
                <w:color w:val="313131"/>
                <w:sz w:val="20"/>
                <w:szCs w:val="20"/>
              </w:rPr>
            </w:pPr>
            <w:r w:rsidRPr="006F50AD">
              <w:rPr>
                <w:rFonts w:ascii="Arial" w:hAnsi="Arial" w:cs="Arial"/>
                <w:bCs/>
                <w:color w:val="313131"/>
                <w:sz w:val="20"/>
                <w:szCs w:val="20"/>
              </w:rPr>
              <w:t>Notes</w:t>
            </w:r>
          </w:p>
        </w:tc>
        <w:tc>
          <w:tcPr>
            <w:tcW w:w="3332" w:type="dxa"/>
            <w:tcMar>
              <w:top w:w="100" w:type="nil"/>
              <w:left w:w="100" w:type="nil"/>
              <w:bottom w:w="100" w:type="nil"/>
              <w:right w:w="100" w:type="nil"/>
            </w:tcMar>
            <w:vAlign w:val="center"/>
          </w:tcPr>
          <w:p w14:paraId="3CA36E3F" w14:textId="3BBB1E7F" w:rsidR="006F50AD" w:rsidRPr="006F50AD" w:rsidRDefault="006F50AD">
            <w:pPr>
              <w:widowControl w:val="0"/>
              <w:autoSpaceDE w:val="0"/>
              <w:autoSpaceDN w:val="0"/>
              <w:adjustRightInd w:val="0"/>
              <w:spacing w:after="0"/>
              <w:rPr>
                <w:rFonts w:ascii="Lucida Sans Unicode" w:hAnsi="Lucida Sans Unicode" w:cs="Lucida Sans Unicode"/>
                <w:color w:val="313131"/>
                <w:sz w:val="20"/>
                <w:szCs w:val="20"/>
              </w:rPr>
            </w:pPr>
            <w:r w:rsidRPr="006F50AD">
              <w:rPr>
                <w:rFonts w:ascii="Arial" w:hAnsi="Arial" w:cs="Arial"/>
                <w:color w:val="313131"/>
                <w:sz w:val="20"/>
                <w:szCs w:val="20"/>
              </w:rPr>
              <w:t> </w:t>
            </w:r>
            <w:r w:rsidRPr="006F50AD">
              <w:rPr>
                <w:rFonts w:ascii="Arial" w:hAnsi="Arial" w:cs="Arial"/>
                <w:bCs/>
                <w:color w:val="313131"/>
                <w:sz w:val="20"/>
                <w:szCs w:val="20"/>
              </w:rPr>
              <w:t>Readings</w:t>
            </w:r>
          </w:p>
        </w:tc>
      </w:tr>
      <w:tr w:rsidR="00E92A6C" w:rsidRPr="006F50AD" w14:paraId="6CD071F5" w14:textId="77777777" w:rsidTr="00E92A6C">
        <w:tblPrEx>
          <w:tblBorders>
            <w:top w:val="none" w:sz="0" w:space="0" w:color="auto"/>
          </w:tblBorders>
        </w:tblPrEx>
        <w:trPr>
          <w:gridAfter w:val="2"/>
          <w:wAfter w:w="6038" w:type="dxa"/>
        </w:trPr>
        <w:tc>
          <w:tcPr>
            <w:tcW w:w="1546" w:type="dxa"/>
            <w:tcMar>
              <w:top w:w="100" w:type="nil"/>
              <w:left w:w="100" w:type="nil"/>
              <w:bottom w:w="100" w:type="nil"/>
              <w:right w:w="100" w:type="nil"/>
            </w:tcMar>
            <w:vAlign w:val="center"/>
          </w:tcPr>
          <w:p w14:paraId="1688BF79" w14:textId="5C3C4A74" w:rsidR="006F50AD" w:rsidRPr="006F50AD" w:rsidRDefault="006F50AD" w:rsidP="00425DE3">
            <w:pPr>
              <w:widowControl w:val="0"/>
              <w:autoSpaceDE w:val="0"/>
              <w:autoSpaceDN w:val="0"/>
              <w:adjustRightInd w:val="0"/>
              <w:spacing w:after="0"/>
              <w:rPr>
                <w:rFonts w:ascii="Lucida Sans Unicode" w:hAnsi="Lucida Sans Unicode" w:cs="Lucida Sans Unicode"/>
                <w:color w:val="313131"/>
                <w:sz w:val="20"/>
                <w:szCs w:val="20"/>
              </w:rPr>
            </w:pPr>
            <w:r w:rsidRPr="006F50AD">
              <w:rPr>
                <w:rFonts w:ascii="Arial" w:hAnsi="Arial" w:cs="Arial"/>
                <w:color w:val="313131"/>
                <w:sz w:val="20"/>
                <w:szCs w:val="20"/>
              </w:rPr>
              <w:t> </w:t>
            </w:r>
            <w:r w:rsidR="00425DE3">
              <w:rPr>
                <w:rFonts w:ascii="Arial" w:hAnsi="Arial" w:cs="Arial"/>
                <w:bCs/>
                <w:color w:val="313131"/>
                <w:sz w:val="20"/>
                <w:szCs w:val="20"/>
              </w:rPr>
              <w:t>Week 1</w:t>
            </w:r>
          </w:p>
        </w:tc>
        <w:tc>
          <w:tcPr>
            <w:tcW w:w="5219" w:type="dxa"/>
            <w:tcMar>
              <w:top w:w="100" w:type="nil"/>
              <w:left w:w="100" w:type="nil"/>
              <w:bottom w:w="100" w:type="nil"/>
              <w:right w:w="100" w:type="nil"/>
            </w:tcMar>
            <w:vAlign w:val="center"/>
          </w:tcPr>
          <w:p w14:paraId="172630F1" w14:textId="3BA84623" w:rsidR="006F50AD" w:rsidRPr="006F50AD" w:rsidRDefault="006F50AD">
            <w:pPr>
              <w:widowControl w:val="0"/>
              <w:autoSpaceDE w:val="0"/>
              <w:autoSpaceDN w:val="0"/>
              <w:adjustRightInd w:val="0"/>
              <w:spacing w:after="0"/>
              <w:rPr>
                <w:rFonts w:ascii="Lucida Sans Unicode" w:hAnsi="Lucida Sans Unicode" w:cs="Lucida Sans Unicode"/>
                <w:color w:val="313131"/>
                <w:sz w:val="20"/>
                <w:szCs w:val="20"/>
              </w:rPr>
            </w:pPr>
            <w:r w:rsidRPr="006F50AD">
              <w:rPr>
                <w:rFonts w:ascii="Arial" w:hAnsi="Arial" w:cs="Arial"/>
                <w:color w:val="313131"/>
                <w:sz w:val="20"/>
                <w:szCs w:val="20"/>
              </w:rPr>
              <w:t> </w:t>
            </w:r>
            <w:hyperlink r:id="rId7" w:history="1">
              <w:r w:rsidRPr="006F50AD">
                <w:rPr>
                  <w:rFonts w:ascii="Arial" w:hAnsi="Arial" w:cs="Arial"/>
                  <w:bCs/>
                  <w:color w:val="2E5C09"/>
                  <w:sz w:val="20"/>
                  <w:szCs w:val="20"/>
                </w:rPr>
                <w:t>Overview</w:t>
              </w:r>
            </w:hyperlink>
          </w:p>
        </w:tc>
        <w:tc>
          <w:tcPr>
            <w:tcW w:w="3332" w:type="dxa"/>
            <w:tcMar>
              <w:top w:w="100" w:type="nil"/>
              <w:left w:w="100" w:type="nil"/>
              <w:bottom w:w="100" w:type="nil"/>
              <w:right w:w="100" w:type="nil"/>
            </w:tcMar>
            <w:vAlign w:val="center"/>
          </w:tcPr>
          <w:p w14:paraId="2F3058EE" w14:textId="3F5C7CBA" w:rsidR="006F50AD" w:rsidRPr="006F50AD" w:rsidRDefault="006F50AD">
            <w:pPr>
              <w:widowControl w:val="0"/>
              <w:autoSpaceDE w:val="0"/>
              <w:autoSpaceDN w:val="0"/>
              <w:adjustRightInd w:val="0"/>
              <w:spacing w:after="0"/>
              <w:rPr>
                <w:rFonts w:ascii="Lucida Sans Unicode" w:hAnsi="Lucida Sans Unicode" w:cs="Lucida Sans Unicode"/>
                <w:color w:val="313131"/>
                <w:sz w:val="20"/>
                <w:szCs w:val="20"/>
              </w:rPr>
            </w:pPr>
            <w:r w:rsidRPr="006F50AD">
              <w:rPr>
                <w:rFonts w:ascii="Arial" w:hAnsi="Arial" w:cs="Arial"/>
                <w:color w:val="313131"/>
                <w:sz w:val="20"/>
                <w:szCs w:val="20"/>
              </w:rPr>
              <w:t> </w:t>
            </w:r>
            <w:r w:rsidR="004A3B77">
              <w:rPr>
                <w:rFonts w:ascii="Arial" w:hAnsi="Arial" w:cs="Arial"/>
                <w:color w:val="313131"/>
                <w:sz w:val="20"/>
                <w:szCs w:val="20"/>
              </w:rPr>
              <w:t xml:space="preserve">Denning 2017; </w:t>
            </w:r>
            <w:hyperlink r:id="rId8" w:history="1">
              <w:proofErr w:type="spellStart"/>
              <w:r w:rsidRPr="006F50AD">
                <w:rPr>
                  <w:rFonts w:ascii="Arial" w:hAnsi="Arial" w:cs="Arial"/>
                  <w:bCs/>
                  <w:color w:val="D38727"/>
                  <w:sz w:val="20"/>
                  <w:szCs w:val="20"/>
                </w:rPr>
                <w:t>LeQuere</w:t>
              </w:r>
              <w:proofErr w:type="spellEnd"/>
              <w:r w:rsidRPr="006F50AD">
                <w:rPr>
                  <w:rFonts w:ascii="Arial" w:hAnsi="Arial" w:cs="Arial"/>
                  <w:bCs/>
                  <w:color w:val="D38727"/>
                  <w:sz w:val="20"/>
                  <w:szCs w:val="20"/>
                </w:rPr>
                <w:t xml:space="preserve"> 2013</w:t>
              </w:r>
            </w:hyperlink>
          </w:p>
        </w:tc>
      </w:tr>
      <w:tr w:rsidR="00E92A6C" w:rsidRPr="006F50AD" w14:paraId="2DF8ABCA" w14:textId="77777777" w:rsidTr="00E92A6C">
        <w:tblPrEx>
          <w:tblBorders>
            <w:top w:val="none" w:sz="0" w:space="0" w:color="auto"/>
          </w:tblBorders>
        </w:tblPrEx>
        <w:trPr>
          <w:gridAfter w:val="2"/>
          <w:wAfter w:w="6038" w:type="dxa"/>
          <w:trHeight w:val="342"/>
        </w:trPr>
        <w:tc>
          <w:tcPr>
            <w:tcW w:w="1546" w:type="dxa"/>
            <w:tcMar>
              <w:top w:w="100" w:type="nil"/>
              <w:left w:w="100" w:type="nil"/>
              <w:bottom w:w="100" w:type="nil"/>
              <w:right w:w="100" w:type="nil"/>
            </w:tcMar>
            <w:vAlign w:val="center"/>
          </w:tcPr>
          <w:p w14:paraId="13B0B97F" w14:textId="387DBDDF" w:rsidR="006F50AD" w:rsidRPr="006F50AD" w:rsidRDefault="006F50AD">
            <w:pPr>
              <w:widowControl w:val="0"/>
              <w:autoSpaceDE w:val="0"/>
              <w:autoSpaceDN w:val="0"/>
              <w:adjustRightInd w:val="0"/>
              <w:spacing w:after="0"/>
              <w:rPr>
                <w:rFonts w:ascii="Lucida Sans Unicode" w:hAnsi="Lucida Sans Unicode" w:cs="Lucida Sans Unicode"/>
                <w:color w:val="313131"/>
                <w:sz w:val="20"/>
                <w:szCs w:val="20"/>
              </w:rPr>
            </w:pPr>
          </w:p>
        </w:tc>
        <w:tc>
          <w:tcPr>
            <w:tcW w:w="5219" w:type="dxa"/>
            <w:tcMar>
              <w:top w:w="100" w:type="nil"/>
              <w:left w:w="100" w:type="nil"/>
              <w:bottom w:w="100" w:type="nil"/>
              <w:right w:w="100" w:type="nil"/>
            </w:tcMar>
            <w:vAlign w:val="center"/>
          </w:tcPr>
          <w:p w14:paraId="7DC8E96A" w14:textId="4AE9DFEA" w:rsidR="006F50AD" w:rsidRPr="006F50AD" w:rsidRDefault="006F50AD">
            <w:pPr>
              <w:widowControl w:val="0"/>
              <w:autoSpaceDE w:val="0"/>
              <w:autoSpaceDN w:val="0"/>
              <w:adjustRightInd w:val="0"/>
              <w:spacing w:after="0"/>
              <w:rPr>
                <w:rFonts w:ascii="Lucida Sans Unicode" w:hAnsi="Lucida Sans Unicode" w:cs="Lucida Sans Unicode"/>
                <w:color w:val="313131"/>
                <w:sz w:val="20"/>
                <w:szCs w:val="20"/>
              </w:rPr>
            </w:pPr>
          </w:p>
        </w:tc>
        <w:tc>
          <w:tcPr>
            <w:tcW w:w="3332" w:type="dxa"/>
            <w:tcMar>
              <w:top w:w="100" w:type="nil"/>
              <w:left w:w="100" w:type="nil"/>
              <w:bottom w:w="100" w:type="nil"/>
              <w:right w:w="100" w:type="nil"/>
            </w:tcMar>
            <w:vAlign w:val="center"/>
          </w:tcPr>
          <w:p w14:paraId="1FAF9520" w14:textId="093FEDED" w:rsidR="006F50AD" w:rsidRPr="006F50AD" w:rsidRDefault="006F50AD">
            <w:pPr>
              <w:widowControl w:val="0"/>
              <w:autoSpaceDE w:val="0"/>
              <w:autoSpaceDN w:val="0"/>
              <w:adjustRightInd w:val="0"/>
              <w:spacing w:after="0"/>
              <w:rPr>
                <w:rFonts w:ascii="Lucida Sans Unicode" w:hAnsi="Lucida Sans Unicode" w:cs="Lucida Sans Unicode"/>
                <w:color w:val="313131"/>
                <w:sz w:val="20"/>
                <w:szCs w:val="20"/>
              </w:rPr>
            </w:pPr>
          </w:p>
        </w:tc>
      </w:tr>
      <w:tr w:rsidR="00E92A6C" w:rsidRPr="006F50AD" w14:paraId="3AFCB77D" w14:textId="77777777" w:rsidTr="00E92A6C">
        <w:tblPrEx>
          <w:tblBorders>
            <w:top w:val="none" w:sz="0" w:space="0" w:color="auto"/>
          </w:tblBorders>
        </w:tblPrEx>
        <w:trPr>
          <w:gridAfter w:val="2"/>
          <w:wAfter w:w="6038" w:type="dxa"/>
          <w:trHeight w:val="261"/>
        </w:trPr>
        <w:tc>
          <w:tcPr>
            <w:tcW w:w="10097" w:type="dxa"/>
            <w:gridSpan w:val="3"/>
            <w:shd w:val="clear" w:color="auto" w:fill="77FF74"/>
            <w:tcMar>
              <w:top w:w="100" w:type="nil"/>
              <w:left w:w="100" w:type="nil"/>
              <w:bottom w:w="100" w:type="nil"/>
              <w:right w:w="100" w:type="nil"/>
            </w:tcMar>
            <w:vAlign w:val="center"/>
          </w:tcPr>
          <w:p w14:paraId="37E342F1" w14:textId="62066823" w:rsidR="006F50AD" w:rsidRPr="006F50AD" w:rsidRDefault="006F50AD">
            <w:pPr>
              <w:widowControl w:val="0"/>
              <w:autoSpaceDE w:val="0"/>
              <w:autoSpaceDN w:val="0"/>
              <w:adjustRightInd w:val="0"/>
              <w:spacing w:after="0"/>
              <w:jc w:val="center"/>
              <w:rPr>
                <w:rFonts w:ascii="Lucida Sans Unicode" w:hAnsi="Lucida Sans Unicode" w:cs="Lucida Sans Unicode"/>
                <w:sz w:val="20"/>
                <w:szCs w:val="20"/>
              </w:rPr>
            </w:pPr>
            <w:r w:rsidRPr="006F50AD">
              <w:rPr>
                <w:rFonts w:ascii="Arial" w:hAnsi="Arial" w:cs="Arial"/>
                <w:sz w:val="20"/>
                <w:szCs w:val="20"/>
              </w:rPr>
              <w:t> </w:t>
            </w:r>
            <w:r w:rsidRPr="006F50AD">
              <w:rPr>
                <w:rFonts w:ascii="Arial" w:hAnsi="Arial" w:cs="Arial"/>
                <w:bCs/>
                <w:sz w:val="20"/>
                <w:szCs w:val="20"/>
              </w:rPr>
              <w:t>LAND</w:t>
            </w:r>
            <w:r w:rsidR="004A3B77">
              <w:rPr>
                <w:rFonts w:ascii="Arial" w:hAnsi="Arial" w:cs="Arial"/>
                <w:bCs/>
                <w:sz w:val="20"/>
                <w:szCs w:val="20"/>
              </w:rPr>
              <w:br/>
            </w:r>
          </w:p>
        </w:tc>
      </w:tr>
      <w:tr w:rsidR="00E92A6C" w:rsidRPr="006F50AD" w14:paraId="46236D3D" w14:textId="77777777" w:rsidTr="00E92A6C">
        <w:tblPrEx>
          <w:tblBorders>
            <w:top w:val="none" w:sz="0" w:space="0" w:color="auto"/>
          </w:tblBorders>
        </w:tblPrEx>
        <w:trPr>
          <w:gridAfter w:val="2"/>
          <w:wAfter w:w="6038" w:type="dxa"/>
        </w:trPr>
        <w:tc>
          <w:tcPr>
            <w:tcW w:w="1546" w:type="dxa"/>
            <w:shd w:val="clear" w:color="auto" w:fill="77FF74"/>
            <w:tcMar>
              <w:top w:w="100" w:type="nil"/>
              <w:left w:w="100" w:type="nil"/>
              <w:bottom w:w="100" w:type="nil"/>
              <w:right w:w="100" w:type="nil"/>
            </w:tcMar>
            <w:vAlign w:val="center"/>
          </w:tcPr>
          <w:p w14:paraId="0C180A7C" w14:textId="19E749D1" w:rsidR="006F50AD" w:rsidRPr="006F50AD" w:rsidRDefault="00425DE3">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2</w:t>
            </w:r>
          </w:p>
        </w:tc>
        <w:tc>
          <w:tcPr>
            <w:tcW w:w="5219" w:type="dxa"/>
            <w:shd w:val="clear" w:color="auto" w:fill="77FF74"/>
            <w:tcMar>
              <w:top w:w="100" w:type="nil"/>
              <w:left w:w="100" w:type="nil"/>
              <w:bottom w:w="100" w:type="nil"/>
              <w:right w:w="100" w:type="nil"/>
            </w:tcMar>
            <w:vAlign w:val="center"/>
          </w:tcPr>
          <w:p w14:paraId="1156E2E2" w14:textId="72025D09" w:rsidR="006F50AD" w:rsidRPr="006F50AD" w:rsidRDefault="00765353">
            <w:pPr>
              <w:widowControl w:val="0"/>
              <w:autoSpaceDE w:val="0"/>
              <w:autoSpaceDN w:val="0"/>
              <w:adjustRightInd w:val="0"/>
              <w:spacing w:after="0"/>
              <w:rPr>
                <w:rFonts w:ascii="Lucida Sans Unicode" w:hAnsi="Lucida Sans Unicode" w:cs="Lucida Sans Unicode"/>
                <w:sz w:val="20"/>
                <w:szCs w:val="20"/>
              </w:rPr>
            </w:pPr>
            <w:hyperlink r:id="rId9" w:history="1">
              <w:r w:rsidR="006F50AD" w:rsidRPr="006F50AD">
                <w:rPr>
                  <w:rFonts w:ascii="Arial" w:hAnsi="Arial" w:cs="Arial"/>
                  <w:bCs/>
                  <w:sz w:val="20"/>
                  <w:szCs w:val="20"/>
                </w:rPr>
                <w:t>Photosynthesis</w:t>
              </w:r>
            </w:hyperlink>
            <w:r w:rsidR="006F50AD" w:rsidRPr="006F50AD">
              <w:rPr>
                <w:rFonts w:ascii="Arial" w:hAnsi="Arial" w:cs="Arial"/>
                <w:bCs/>
                <w:sz w:val="20"/>
                <w:szCs w:val="20"/>
              </w:rPr>
              <w:t xml:space="preserve"> &amp; Biogeochemistry</w:t>
            </w:r>
          </w:p>
        </w:tc>
        <w:tc>
          <w:tcPr>
            <w:tcW w:w="3332" w:type="dxa"/>
            <w:shd w:val="clear" w:color="auto" w:fill="77FF74"/>
            <w:tcMar>
              <w:top w:w="100" w:type="nil"/>
              <w:left w:w="100" w:type="nil"/>
              <w:bottom w:w="100" w:type="nil"/>
              <w:right w:w="100" w:type="nil"/>
            </w:tcMar>
            <w:vAlign w:val="center"/>
          </w:tcPr>
          <w:p w14:paraId="4D4AB58B" w14:textId="33B688CF"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 xml:space="preserve">Denning, </w:t>
            </w:r>
            <w:proofErr w:type="spellStart"/>
            <w:r w:rsidRPr="006F50AD">
              <w:rPr>
                <w:rFonts w:ascii="Arial" w:hAnsi="Arial" w:cs="Arial"/>
                <w:bCs/>
                <w:sz w:val="20"/>
                <w:szCs w:val="20"/>
              </w:rPr>
              <w:t>Bonan</w:t>
            </w:r>
            <w:proofErr w:type="spellEnd"/>
            <w:r w:rsidRPr="006F50AD">
              <w:rPr>
                <w:rFonts w:ascii="Arial" w:hAnsi="Arial" w:cs="Arial"/>
                <w:bCs/>
                <w:sz w:val="20"/>
                <w:szCs w:val="20"/>
              </w:rPr>
              <w:t>, Schulze</w:t>
            </w:r>
          </w:p>
        </w:tc>
      </w:tr>
      <w:tr w:rsidR="00E92A6C" w:rsidRPr="006F50AD" w14:paraId="11363F94" w14:textId="77777777" w:rsidTr="00E92A6C">
        <w:tblPrEx>
          <w:tblBorders>
            <w:top w:val="none" w:sz="0" w:space="0" w:color="auto"/>
          </w:tblBorders>
        </w:tblPrEx>
        <w:trPr>
          <w:gridAfter w:val="2"/>
          <w:wAfter w:w="6038" w:type="dxa"/>
        </w:trPr>
        <w:tc>
          <w:tcPr>
            <w:tcW w:w="1546" w:type="dxa"/>
            <w:shd w:val="clear" w:color="auto" w:fill="77FF74"/>
            <w:tcMar>
              <w:top w:w="100" w:type="nil"/>
              <w:left w:w="100" w:type="nil"/>
              <w:bottom w:w="100" w:type="nil"/>
              <w:right w:w="100" w:type="nil"/>
            </w:tcMar>
            <w:vAlign w:val="center"/>
          </w:tcPr>
          <w:p w14:paraId="58228B89" w14:textId="034664A4" w:rsidR="006F50AD" w:rsidRPr="006F50AD" w:rsidRDefault="00425DE3" w:rsidP="00425DE3">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3</w:t>
            </w:r>
          </w:p>
        </w:tc>
        <w:tc>
          <w:tcPr>
            <w:tcW w:w="5219" w:type="dxa"/>
            <w:shd w:val="clear" w:color="auto" w:fill="77FF74"/>
            <w:tcMar>
              <w:top w:w="100" w:type="nil"/>
              <w:left w:w="100" w:type="nil"/>
              <w:bottom w:w="100" w:type="nil"/>
              <w:right w:w="100" w:type="nil"/>
            </w:tcMar>
            <w:vAlign w:val="center"/>
          </w:tcPr>
          <w:p w14:paraId="404FE076" w14:textId="4D2AAA30" w:rsidR="006F50AD" w:rsidRPr="006F50AD" w:rsidRDefault="00765353">
            <w:pPr>
              <w:widowControl w:val="0"/>
              <w:autoSpaceDE w:val="0"/>
              <w:autoSpaceDN w:val="0"/>
              <w:adjustRightInd w:val="0"/>
              <w:spacing w:after="0"/>
              <w:rPr>
                <w:rFonts w:ascii="Lucida Sans Unicode" w:hAnsi="Lucida Sans Unicode" w:cs="Lucida Sans Unicode"/>
                <w:sz w:val="20"/>
                <w:szCs w:val="20"/>
              </w:rPr>
            </w:pPr>
            <w:hyperlink r:id="rId10" w:history="1">
              <w:r w:rsidR="006F50AD" w:rsidRPr="006F50AD">
                <w:rPr>
                  <w:rFonts w:ascii="Arial" w:hAnsi="Arial" w:cs="Arial"/>
                  <w:bCs/>
                  <w:sz w:val="20"/>
                  <w:szCs w:val="20"/>
                </w:rPr>
                <w:t xml:space="preserve">Eddy Covariance </w:t>
              </w:r>
            </w:hyperlink>
            <w:r w:rsidR="006F50AD" w:rsidRPr="006F50AD">
              <w:rPr>
                <w:rFonts w:ascii="Arial" w:hAnsi="Arial" w:cs="Arial"/>
                <w:bCs/>
                <w:sz w:val="20"/>
                <w:szCs w:val="20"/>
              </w:rPr>
              <w:t>&amp; Disturbances</w:t>
            </w:r>
          </w:p>
        </w:tc>
        <w:tc>
          <w:tcPr>
            <w:tcW w:w="3332" w:type="dxa"/>
            <w:shd w:val="clear" w:color="auto" w:fill="77FF74"/>
            <w:tcMar>
              <w:top w:w="100" w:type="nil"/>
              <w:left w:w="100" w:type="nil"/>
              <w:bottom w:w="100" w:type="nil"/>
              <w:right w:w="100" w:type="nil"/>
            </w:tcMar>
            <w:vAlign w:val="center"/>
          </w:tcPr>
          <w:p w14:paraId="5362D29A" w14:textId="55D7FBEA"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roofErr w:type="spellStart"/>
            <w:r w:rsidRPr="006F50AD">
              <w:rPr>
                <w:rFonts w:ascii="Arial" w:hAnsi="Arial" w:cs="Arial"/>
                <w:bCs/>
                <w:sz w:val="20"/>
                <w:szCs w:val="20"/>
              </w:rPr>
              <w:t>Baldocchi</w:t>
            </w:r>
            <w:proofErr w:type="spellEnd"/>
            <w:r w:rsidRPr="006F50AD">
              <w:rPr>
                <w:rFonts w:ascii="Arial" w:hAnsi="Arial" w:cs="Arial"/>
                <w:bCs/>
                <w:sz w:val="20"/>
                <w:szCs w:val="20"/>
              </w:rPr>
              <w:t>, Beer</w:t>
            </w:r>
          </w:p>
        </w:tc>
      </w:tr>
      <w:tr w:rsidR="00E92A6C" w:rsidRPr="006F50AD" w14:paraId="6501372B" w14:textId="77777777" w:rsidTr="00E92A6C">
        <w:tblPrEx>
          <w:tblBorders>
            <w:top w:val="none" w:sz="0" w:space="0" w:color="auto"/>
          </w:tblBorders>
        </w:tblPrEx>
        <w:trPr>
          <w:gridAfter w:val="2"/>
          <w:wAfter w:w="6038" w:type="dxa"/>
        </w:trPr>
        <w:tc>
          <w:tcPr>
            <w:tcW w:w="1546" w:type="dxa"/>
            <w:shd w:val="clear" w:color="auto" w:fill="77FF74"/>
            <w:tcMar>
              <w:top w:w="100" w:type="nil"/>
              <w:left w:w="100" w:type="nil"/>
              <w:bottom w:w="100" w:type="nil"/>
              <w:right w:w="100" w:type="nil"/>
            </w:tcMar>
            <w:vAlign w:val="center"/>
          </w:tcPr>
          <w:p w14:paraId="6931DE3D" w14:textId="3E8F9D14" w:rsidR="006F50AD" w:rsidRPr="006F50AD" w:rsidRDefault="00425DE3" w:rsidP="00425DE3">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4</w:t>
            </w:r>
          </w:p>
        </w:tc>
        <w:tc>
          <w:tcPr>
            <w:tcW w:w="5219" w:type="dxa"/>
            <w:shd w:val="clear" w:color="auto" w:fill="77FF74"/>
            <w:tcMar>
              <w:top w:w="100" w:type="nil"/>
              <w:left w:w="100" w:type="nil"/>
              <w:bottom w:w="100" w:type="nil"/>
              <w:right w:w="100" w:type="nil"/>
            </w:tcMar>
            <w:vAlign w:val="center"/>
          </w:tcPr>
          <w:p w14:paraId="3927C352" w14:textId="7ACC95DE"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Ecosystem Manipulations &amp; FACE</w:t>
            </w:r>
          </w:p>
        </w:tc>
        <w:tc>
          <w:tcPr>
            <w:tcW w:w="3332" w:type="dxa"/>
            <w:shd w:val="clear" w:color="auto" w:fill="77FF74"/>
            <w:tcMar>
              <w:top w:w="100" w:type="nil"/>
              <w:left w:w="100" w:type="nil"/>
              <w:bottom w:w="100" w:type="nil"/>
              <w:right w:w="100" w:type="nil"/>
            </w:tcMar>
            <w:vAlign w:val="center"/>
          </w:tcPr>
          <w:p w14:paraId="457CEF9D" w14:textId="7843331D"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roofErr w:type="spellStart"/>
            <w:r w:rsidRPr="006F50AD">
              <w:rPr>
                <w:rFonts w:ascii="Arial" w:hAnsi="Arial" w:cs="Arial"/>
                <w:bCs/>
                <w:sz w:val="20"/>
                <w:szCs w:val="20"/>
              </w:rPr>
              <w:t>Norby</w:t>
            </w:r>
            <w:proofErr w:type="spellEnd"/>
            <w:r w:rsidRPr="006F50AD">
              <w:rPr>
                <w:rFonts w:ascii="Arial" w:hAnsi="Arial" w:cs="Arial"/>
                <w:bCs/>
                <w:sz w:val="20"/>
                <w:szCs w:val="20"/>
              </w:rPr>
              <w:t xml:space="preserve">, Luo, </w:t>
            </w:r>
            <w:proofErr w:type="spellStart"/>
            <w:r w:rsidRPr="006F50AD">
              <w:rPr>
                <w:rFonts w:ascii="Arial" w:hAnsi="Arial" w:cs="Arial"/>
                <w:bCs/>
                <w:sz w:val="20"/>
                <w:szCs w:val="20"/>
              </w:rPr>
              <w:t>Finzi</w:t>
            </w:r>
            <w:proofErr w:type="spellEnd"/>
            <w:r w:rsidRPr="006F50AD">
              <w:rPr>
                <w:rFonts w:ascii="Arial" w:hAnsi="Arial" w:cs="Arial"/>
                <w:bCs/>
                <w:sz w:val="20"/>
                <w:szCs w:val="20"/>
              </w:rPr>
              <w:t xml:space="preserve">, </w:t>
            </w:r>
            <w:proofErr w:type="spellStart"/>
            <w:r w:rsidRPr="006F50AD">
              <w:rPr>
                <w:rFonts w:ascii="Arial" w:hAnsi="Arial" w:cs="Arial"/>
                <w:bCs/>
                <w:sz w:val="20"/>
                <w:szCs w:val="20"/>
              </w:rPr>
              <w:t>LeBauer</w:t>
            </w:r>
            <w:proofErr w:type="spellEnd"/>
            <w:r w:rsidRPr="006F50AD">
              <w:rPr>
                <w:rFonts w:ascii="Arial" w:hAnsi="Arial" w:cs="Arial"/>
                <w:bCs/>
                <w:sz w:val="20"/>
                <w:szCs w:val="20"/>
              </w:rPr>
              <w:t xml:space="preserve">   </w:t>
            </w:r>
          </w:p>
        </w:tc>
      </w:tr>
      <w:tr w:rsidR="00E92A6C" w:rsidRPr="006F50AD" w14:paraId="21D6ACAE" w14:textId="77777777" w:rsidTr="00E92A6C">
        <w:tblPrEx>
          <w:tblBorders>
            <w:top w:val="none" w:sz="0" w:space="0" w:color="auto"/>
          </w:tblBorders>
        </w:tblPrEx>
        <w:trPr>
          <w:gridAfter w:val="2"/>
          <w:wAfter w:w="6038" w:type="dxa"/>
        </w:trPr>
        <w:tc>
          <w:tcPr>
            <w:tcW w:w="1546" w:type="dxa"/>
            <w:shd w:val="clear" w:color="auto" w:fill="77FF74"/>
            <w:tcMar>
              <w:top w:w="100" w:type="nil"/>
              <w:left w:w="100" w:type="nil"/>
              <w:bottom w:w="100" w:type="nil"/>
              <w:right w:w="100" w:type="nil"/>
            </w:tcMar>
            <w:vAlign w:val="center"/>
          </w:tcPr>
          <w:p w14:paraId="7AAE645A" w14:textId="2689D645" w:rsidR="006F50AD" w:rsidRPr="006F50AD" w:rsidRDefault="00425DE3" w:rsidP="00425DE3">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5</w:t>
            </w:r>
          </w:p>
        </w:tc>
        <w:tc>
          <w:tcPr>
            <w:tcW w:w="5219" w:type="dxa"/>
            <w:shd w:val="clear" w:color="auto" w:fill="77FF74"/>
            <w:tcMar>
              <w:top w:w="100" w:type="nil"/>
              <w:left w:w="100" w:type="nil"/>
              <w:bottom w:w="100" w:type="nil"/>
              <w:right w:w="100" w:type="nil"/>
            </w:tcMar>
            <w:vAlign w:val="center"/>
          </w:tcPr>
          <w:p w14:paraId="0F4CDAF1" w14:textId="5B2B8EB7" w:rsidR="006F50AD" w:rsidRPr="006F50AD" w:rsidRDefault="00765353">
            <w:pPr>
              <w:widowControl w:val="0"/>
              <w:autoSpaceDE w:val="0"/>
              <w:autoSpaceDN w:val="0"/>
              <w:adjustRightInd w:val="0"/>
              <w:spacing w:after="0"/>
              <w:rPr>
                <w:rFonts w:ascii="Lucida Sans Unicode" w:hAnsi="Lucida Sans Unicode" w:cs="Lucida Sans Unicode"/>
                <w:sz w:val="20"/>
                <w:szCs w:val="20"/>
              </w:rPr>
            </w:pPr>
            <w:hyperlink r:id="rId11" w:history="1">
              <w:r w:rsidR="006F50AD" w:rsidRPr="006F50AD">
                <w:rPr>
                  <w:rFonts w:ascii="Arial" w:hAnsi="Arial" w:cs="Arial"/>
                  <w:bCs/>
                  <w:sz w:val="20"/>
                  <w:szCs w:val="20"/>
                </w:rPr>
                <w:t>Global Terrestrial Carbon</w:t>
              </w:r>
            </w:hyperlink>
          </w:p>
        </w:tc>
        <w:tc>
          <w:tcPr>
            <w:tcW w:w="3332" w:type="dxa"/>
            <w:shd w:val="clear" w:color="auto" w:fill="77FF74"/>
            <w:tcMar>
              <w:top w:w="100" w:type="nil"/>
              <w:left w:w="100" w:type="nil"/>
              <w:bottom w:w="100" w:type="nil"/>
              <w:right w:w="100" w:type="nil"/>
            </w:tcMar>
            <w:vAlign w:val="center"/>
          </w:tcPr>
          <w:p w14:paraId="127807FA" w14:textId="26403842"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Running, Pan</w:t>
            </w:r>
          </w:p>
        </w:tc>
      </w:tr>
      <w:tr w:rsidR="00E92A6C" w:rsidRPr="006F50AD" w14:paraId="18CF2650" w14:textId="77777777" w:rsidTr="00E92A6C">
        <w:tblPrEx>
          <w:tblBorders>
            <w:top w:val="none" w:sz="0" w:space="0" w:color="auto"/>
          </w:tblBorders>
        </w:tblPrEx>
        <w:trPr>
          <w:gridAfter w:val="2"/>
          <w:wAfter w:w="6038" w:type="dxa"/>
        </w:trPr>
        <w:tc>
          <w:tcPr>
            <w:tcW w:w="1546" w:type="dxa"/>
            <w:shd w:val="clear" w:color="auto" w:fill="77FF74"/>
            <w:tcMar>
              <w:top w:w="100" w:type="nil"/>
              <w:left w:w="100" w:type="nil"/>
              <w:bottom w:w="100" w:type="nil"/>
              <w:right w:w="100" w:type="nil"/>
            </w:tcMar>
            <w:vAlign w:val="center"/>
          </w:tcPr>
          <w:p w14:paraId="43AB6527" w14:textId="10EDE2EC" w:rsidR="006F50AD" w:rsidRPr="006F50AD" w:rsidRDefault="00425DE3" w:rsidP="00425DE3">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6</w:t>
            </w:r>
          </w:p>
        </w:tc>
        <w:tc>
          <w:tcPr>
            <w:tcW w:w="5219" w:type="dxa"/>
            <w:shd w:val="clear" w:color="auto" w:fill="77FF74"/>
            <w:tcMar>
              <w:top w:w="100" w:type="nil"/>
              <w:left w:w="100" w:type="nil"/>
              <w:bottom w:w="100" w:type="nil"/>
              <w:right w:w="100" w:type="nil"/>
            </w:tcMar>
            <w:vAlign w:val="center"/>
          </w:tcPr>
          <w:p w14:paraId="2154701F" w14:textId="7D7389C4" w:rsidR="006F50AD" w:rsidRPr="006F50AD" w:rsidRDefault="00765353">
            <w:pPr>
              <w:widowControl w:val="0"/>
              <w:autoSpaceDE w:val="0"/>
              <w:autoSpaceDN w:val="0"/>
              <w:adjustRightInd w:val="0"/>
              <w:spacing w:after="0"/>
              <w:rPr>
                <w:rFonts w:ascii="Lucida Sans Unicode" w:hAnsi="Lucida Sans Unicode" w:cs="Lucida Sans Unicode"/>
                <w:sz w:val="20"/>
                <w:szCs w:val="20"/>
              </w:rPr>
            </w:pPr>
            <w:hyperlink r:id="rId12" w:history="1">
              <w:r w:rsidR="006F50AD" w:rsidRPr="006F50AD">
                <w:rPr>
                  <w:rFonts w:ascii="Arial" w:hAnsi="Arial" w:cs="Arial"/>
                  <w:bCs/>
                  <w:sz w:val="20"/>
                  <w:szCs w:val="20"/>
                </w:rPr>
                <w:t>Fossil Fuels &amp; Energy</w:t>
              </w:r>
            </w:hyperlink>
          </w:p>
        </w:tc>
        <w:tc>
          <w:tcPr>
            <w:tcW w:w="3332" w:type="dxa"/>
            <w:shd w:val="clear" w:color="auto" w:fill="77FF74"/>
            <w:tcMar>
              <w:top w:w="100" w:type="nil"/>
              <w:left w:w="100" w:type="nil"/>
              <w:bottom w:w="100" w:type="nil"/>
              <w:right w:w="100" w:type="nil"/>
            </w:tcMar>
            <w:vAlign w:val="center"/>
          </w:tcPr>
          <w:p w14:paraId="3F5E1EC4" w14:textId="4681FB03"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roofErr w:type="spellStart"/>
            <w:r w:rsidRPr="006F50AD">
              <w:rPr>
                <w:rFonts w:ascii="Arial" w:hAnsi="Arial" w:cs="Arial"/>
                <w:bCs/>
                <w:sz w:val="20"/>
                <w:szCs w:val="20"/>
              </w:rPr>
              <w:t>Raupach</w:t>
            </w:r>
            <w:proofErr w:type="spellEnd"/>
          </w:p>
        </w:tc>
      </w:tr>
      <w:tr w:rsidR="00E92A6C" w:rsidRPr="006F50AD" w14:paraId="28BBAE79" w14:textId="77777777" w:rsidTr="00E92A6C">
        <w:tblPrEx>
          <w:tblBorders>
            <w:top w:val="none" w:sz="0" w:space="0" w:color="auto"/>
          </w:tblBorders>
        </w:tblPrEx>
        <w:trPr>
          <w:gridAfter w:val="2"/>
          <w:wAfter w:w="6038" w:type="dxa"/>
        </w:trPr>
        <w:tc>
          <w:tcPr>
            <w:tcW w:w="1546" w:type="dxa"/>
            <w:tcMar>
              <w:top w:w="100" w:type="nil"/>
              <w:left w:w="100" w:type="nil"/>
              <w:bottom w:w="100" w:type="nil"/>
              <w:right w:w="100" w:type="nil"/>
            </w:tcMar>
            <w:vAlign w:val="center"/>
          </w:tcPr>
          <w:p w14:paraId="5DFD8E1F" w14:textId="038771F8"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c>
          <w:tcPr>
            <w:tcW w:w="5219" w:type="dxa"/>
            <w:tcMar>
              <w:top w:w="100" w:type="nil"/>
              <w:left w:w="100" w:type="nil"/>
              <w:bottom w:w="100" w:type="nil"/>
              <w:right w:w="100" w:type="nil"/>
            </w:tcMar>
            <w:vAlign w:val="center"/>
          </w:tcPr>
          <w:p w14:paraId="63422AE7" w14:textId="7E2BDC54"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c>
          <w:tcPr>
            <w:tcW w:w="3332" w:type="dxa"/>
            <w:tcMar>
              <w:top w:w="100" w:type="nil"/>
              <w:left w:w="100" w:type="nil"/>
              <w:bottom w:w="100" w:type="nil"/>
              <w:right w:w="100" w:type="nil"/>
            </w:tcMar>
            <w:vAlign w:val="center"/>
          </w:tcPr>
          <w:p w14:paraId="7C74D27B" w14:textId="73B08D48"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r>
      <w:tr w:rsidR="00E92A6C" w:rsidRPr="006F50AD" w14:paraId="2584A4BC" w14:textId="77777777" w:rsidTr="00E92A6C">
        <w:tblPrEx>
          <w:tblBorders>
            <w:top w:val="none" w:sz="0" w:space="0" w:color="auto"/>
          </w:tblBorders>
        </w:tblPrEx>
        <w:trPr>
          <w:gridAfter w:val="2"/>
          <w:wAfter w:w="6038" w:type="dxa"/>
        </w:trPr>
        <w:tc>
          <w:tcPr>
            <w:tcW w:w="10097" w:type="dxa"/>
            <w:gridSpan w:val="3"/>
            <w:shd w:val="clear" w:color="auto" w:fill="6AB0FC"/>
            <w:tcMar>
              <w:top w:w="100" w:type="nil"/>
              <w:left w:w="100" w:type="nil"/>
              <w:bottom w:w="100" w:type="nil"/>
              <w:right w:w="100" w:type="nil"/>
            </w:tcMar>
            <w:vAlign w:val="center"/>
          </w:tcPr>
          <w:p w14:paraId="4321201D" w14:textId="2AD60293" w:rsidR="006F50AD" w:rsidRPr="006F50AD" w:rsidRDefault="006F50AD">
            <w:pPr>
              <w:widowControl w:val="0"/>
              <w:autoSpaceDE w:val="0"/>
              <w:autoSpaceDN w:val="0"/>
              <w:adjustRightInd w:val="0"/>
              <w:spacing w:after="0"/>
              <w:jc w:val="center"/>
              <w:rPr>
                <w:rFonts w:ascii="Lucida Sans Unicode" w:hAnsi="Lucida Sans Unicode" w:cs="Lucida Sans Unicode"/>
                <w:sz w:val="20"/>
                <w:szCs w:val="20"/>
              </w:rPr>
            </w:pPr>
            <w:r w:rsidRPr="006F50AD">
              <w:rPr>
                <w:rFonts w:ascii="Arial" w:hAnsi="Arial" w:cs="Arial"/>
                <w:sz w:val="20"/>
                <w:szCs w:val="20"/>
              </w:rPr>
              <w:t>  </w:t>
            </w:r>
            <w:r w:rsidRPr="006F50AD">
              <w:rPr>
                <w:rFonts w:ascii="Arial" w:hAnsi="Arial" w:cs="Arial"/>
                <w:bCs/>
                <w:sz w:val="20"/>
                <w:szCs w:val="20"/>
              </w:rPr>
              <w:t> OCEANS</w:t>
            </w:r>
            <w:r w:rsidR="004A3B77">
              <w:rPr>
                <w:rFonts w:ascii="Arial" w:hAnsi="Arial" w:cs="Arial"/>
                <w:bCs/>
                <w:sz w:val="20"/>
                <w:szCs w:val="20"/>
              </w:rPr>
              <w:br/>
            </w:r>
          </w:p>
        </w:tc>
      </w:tr>
      <w:tr w:rsidR="00E92A6C" w:rsidRPr="006F50AD" w14:paraId="79998D07" w14:textId="77777777" w:rsidTr="00E92A6C">
        <w:tblPrEx>
          <w:tblBorders>
            <w:top w:val="none" w:sz="0" w:space="0" w:color="auto"/>
          </w:tblBorders>
        </w:tblPrEx>
        <w:trPr>
          <w:gridAfter w:val="2"/>
          <w:wAfter w:w="6038" w:type="dxa"/>
        </w:trPr>
        <w:tc>
          <w:tcPr>
            <w:tcW w:w="1546" w:type="dxa"/>
            <w:shd w:val="clear" w:color="auto" w:fill="6AB0FC"/>
            <w:tcMar>
              <w:top w:w="100" w:type="nil"/>
              <w:left w:w="100" w:type="nil"/>
              <w:bottom w:w="100" w:type="nil"/>
              <w:right w:w="100" w:type="nil"/>
            </w:tcMar>
            <w:vAlign w:val="center"/>
          </w:tcPr>
          <w:p w14:paraId="6CB07F29" w14:textId="43D7D5E6" w:rsidR="006F50AD" w:rsidRPr="006F50AD" w:rsidRDefault="004A3B77" w:rsidP="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7</w:t>
            </w:r>
          </w:p>
        </w:tc>
        <w:tc>
          <w:tcPr>
            <w:tcW w:w="5219" w:type="dxa"/>
            <w:shd w:val="clear" w:color="auto" w:fill="6AB0FC"/>
            <w:tcMar>
              <w:top w:w="100" w:type="nil"/>
              <w:left w:w="100" w:type="nil"/>
              <w:bottom w:w="100" w:type="nil"/>
              <w:right w:w="100" w:type="nil"/>
            </w:tcMar>
            <w:vAlign w:val="center"/>
          </w:tcPr>
          <w:p w14:paraId="4A0B30F2" w14:textId="3CEBF95D"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sz w:val="20"/>
                <w:szCs w:val="20"/>
              </w:rPr>
              <w:t> </w:t>
            </w:r>
            <w:hyperlink r:id="rId13" w:history="1">
              <w:r w:rsidRPr="006F50AD">
                <w:rPr>
                  <w:rFonts w:ascii="Arial" w:hAnsi="Arial" w:cs="Arial"/>
                  <w:bCs/>
                  <w:sz w:val="20"/>
                  <w:szCs w:val="20"/>
                </w:rPr>
                <w:t>The Physical Ocean</w:t>
              </w:r>
            </w:hyperlink>
          </w:p>
        </w:tc>
        <w:tc>
          <w:tcPr>
            <w:tcW w:w="3332" w:type="dxa"/>
            <w:shd w:val="clear" w:color="auto" w:fill="6AB0FC"/>
            <w:tcMar>
              <w:top w:w="100" w:type="nil"/>
              <w:left w:w="100" w:type="nil"/>
              <w:bottom w:w="100" w:type="nil"/>
              <w:right w:w="100" w:type="nil"/>
            </w:tcMar>
            <w:vAlign w:val="center"/>
          </w:tcPr>
          <w:p w14:paraId="2A6180DE" w14:textId="3E8F8BCB"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 W&amp;F, Sabine</w:t>
            </w:r>
          </w:p>
        </w:tc>
      </w:tr>
      <w:tr w:rsidR="00E92A6C" w:rsidRPr="006F50AD" w14:paraId="618562A9" w14:textId="77777777" w:rsidTr="00E92A6C">
        <w:tblPrEx>
          <w:tblBorders>
            <w:top w:val="none" w:sz="0" w:space="0" w:color="auto"/>
          </w:tblBorders>
        </w:tblPrEx>
        <w:trPr>
          <w:gridAfter w:val="2"/>
          <w:wAfter w:w="6038" w:type="dxa"/>
        </w:trPr>
        <w:tc>
          <w:tcPr>
            <w:tcW w:w="1546" w:type="dxa"/>
            <w:shd w:val="clear" w:color="auto" w:fill="6AB0FC"/>
            <w:tcMar>
              <w:top w:w="100" w:type="nil"/>
              <w:left w:w="100" w:type="nil"/>
              <w:bottom w:w="100" w:type="nil"/>
              <w:right w:w="100" w:type="nil"/>
            </w:tcMar>
            <w:vAlign w:val="center"/>
          </w:tcPr>
          <w:p w14:paraId="12C43138" w14:textId="1A2D1711" w:rsidR="006F50AD" w:rsidRPr="006F50AD" w:rsidRDefault="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8</w:t>
            </w:r>
          </w:p>
        </w:tc>
        <w:tc>
          <w:tcPr>
            <w:tcW w:w="5219" w:type="dxa"/>
            <w:shd w:val="clear" w:color="auto" w:fill="6AB0FC"/>
            <w:tcMar>
              <w:top w:w="100" w:type="nil"/>
              <w:left w:w="100" w:type="nil"/>
              <w:bottom w:w="100" w:type="nil"/>
              <w:right w:w="100" w:type="nil"/>
            </w:tcMar>
            <w:vAlign w:val="center"/>
          </w:tcPr>
          <w:p w14:paraId="0BA0E593" w14:textId="7E0AE6EE" w:rsidR="006F50AD" w:rsidRPr="006F50AD" w:rsidRDefault="00765353">
            <w:pPr>
              <w:widowControl w:val="0"/>
              <w:autoSpaceDE w:val="0"/>
              <w:autoSpaceDN w:val="0"/>
              <w:adjustRightInd w:val="0"/>
              <w:spacing w:after="0"/>
              <w:rPr>
                <w:rFonts w:ascii="Lucida Sans Unicode" w:hAnsi="Lucida Sans Unicode" w:cs="Lucida Sans Unicode"/>
                <w:sz w:val="20"/>
                <w:szCs w:val="20"/>
              </w:rPr>
            </w:pPr>
            <w:hyperlink r:id="rId14" w:history="1">
              <w:r w:rsidR="006F50AD" w:rsidRPr="006F50AD">
                <w:rPr>
                  <w:rFonts w:ascii="Arial" w:hAnsi="Arial" w:cs="Arial"/>
                  <w:sz w:val="20"/>
                  <w:szCs w:val="20"/>
                </w:rPr>
                <w:t> </w:t>
              </w:r>
              <w:r w:rsidR="006F50AD" w:rsidRPr="006F50AD">
                <w:rPr>
                  <w:rFonts w:ascii="Arial" w:hAnsi="Arial" w:cs="Arial"/>
                  <w:bCs/>
                  <w:sz w:val="20"/>
                  <w:szCs w:val="20"/>
                </w:rPr>
                <w:t>Carbonate Chemistry &amp; Ocean Acidification      </w:t>
              </w:r>
            </w:hyperlink>
          </w:p>
        </w:tc>
        <w:tc>
          <w:tcPr>
            <w:tcW w:w="3332" w:type="dxa"/>
            <w:shd w:val="clear" w:color="auto" w:fill="6AB0FC"/>
            <w:tcMar>
              <w:top w:w="100" w:type="nil"/>
              <w:left w:w="100" w:type="nil"/>
              <w:bottom w:w="100" w:type="nil"/>
              <w:right w:w="100" w:type="nil"/>
            </w:tcMar>
            <w:vAlign w:val="center"/>
          </w:tcPr>
          <w:p w14:paraId="3693DCAB" w14:textId="538BEAFC"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 xml:space="preserve"> W&amp;F, </w:t>
            </w:r>
            <w:proofErr w:type="spellStart"/>
            <w:r w:rsidRPr="006F50AD">
              <w:rPr>
                <w:rFonts w:ascii="Arial" w:hAnsi="Arial" w:cs="Arial"/>
                <w:bCs/>
                <w:sz w:val="20"/>
                <w:szCs w:val="20"/>
              </w:rPr>
              <w:t>Feeley</w:t>
            </w:r>
            <w:proofErr w:type="spellEnd"/>
          </w:p>
        </w:tc>
      </w:tr>
      <w:tr w:rsidR="00E92A6C" w:rsidRPr="006F50AD" w14:paraId="105D824D" w14:textId="77777777" w:rsidTr="00E92A6C">
        <w:tblPrEx>
          <w:tblBorders>
            <w:top w:val="none" w:sz="0" w:space="0" w:color="auto"/>
          </w:tblBorders>
        </w:tblPrEx>
        <w:trPr>
          <w:gridAfter w:val="2"/>
          <w:wAfter w:w="6038" w:type="dxa"/>
        </w:trPr>
        <w:tc>
          <w:tcPr>
            <w:tcW w:w="1546" w:type="dxa"/>
            <w:shd w:val="clear" w:color="auto" w:fill="6AB0FC"/>
            <w:tcMar>
              <w:top w:w="100" w:type="nil"/>
              <w:left w:w="100" w:type="nil"/>
              <w:bottom w:w="100" w:type="nil"/>
              <w:right w:w="100" w:type="nil"/>
            </w:tcMar>
            <w:vAlign w:val="center"/>
          </w:tcPr>
          <w:p w14:paraId="5526E5BA" w14:textId="65D364CE" w:rsidR="006F50AD" w:rsidRPr="006F50AD" w:rsidRDefault="004A3B77" w:rsidP="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9</w:t>
            </w:r>
          </w:p>
        </w:tc>
        <w:tc>
          <w:tcPr>
            <w:tcW w:w="5219" w:type="dxa"/>
            <w:shd w:val="clear" w:color="auto" w:fill="6AB0FC"/>
            <w:tcMar>
              <w:top w:w="100" w:type="nil"/>
              <w:left w:w="100" w:type="nil"/>
              <w:bottom w:w="100" w:type="nil"/>
              <w:right w:w="100" w:type="nil"/>
            </w:tcMar>
            <w:vAlign w:val="center"/>
          </w:tcPr>
          <w:p w14:paraId="504805D5" w14:textId="4A2BA437"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sz w:val="20"/>
                <w:szCs w:val="20"/>
              </w:rPr>
              <w:t> </w:t>
            </w:r>
            <w:hyperlink r:id="rId15" w:history="1">
              <w:r w:rsidRPr="006F50AD">
                <w:rPr>
                  <w:rFonts w:ascii="Arial" w:hAnsi="Arial" w:cs="Arial"/>
                  <w:bCs/>
                  <w:sz w:val="20"/>
                  <w:szCs w:val="20"/>
                </w:rPr>
                <w:t>Marine Biology, Nutrients, &amp; Circulation</w:t>
              </w:r>
            </w:hyperlink>
          </w:p>
        </w:tc>
        <w:tc>
          <w:tcPr>
            <w:tcW w:w="3332" w:type="dxa"/>
            <w:shd w:val="clear" w:color="auto" w:fill="6AB0FC"/>
            <w:tcMar>
              <w:top w:w="100" w:type="nil"/>
              <w:left w:w="100" w:type="nil"/>
              <w:bottom w:w="100" w:type="nil"/>
              <w:right w:w="100" w:type="nil"/>
            </w:tcMar>
            <w:vAlign w:val="center"/>
          </w:tcPr>
          <w:p w14:paraId="7614A07B" w14:textId="614183DC"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 Selections from W&amp;F</w:t>
            </w:r>
          </w:p>
        </w:tc>
      </w:tr>
      <w:tr w:rsidR="00E92A6C" w:rsidRPr="006F50AD" w14:paraId="60D8050C" w14:textId="77777777" w:rsidTr="00E92A6C">
        <w:tblPrEx>
          <w:tblBorders>
            <w:top w:val="none" w:sz="0" w:space="0" w:color="auto"/>
          </w:tblBorders>
        </w:tblPrEx>
        <w:trPr>
          <w:gridAfter w:val="2"/>
          <w:wAfter w:w="6038" w:type="dxa"/>
        </w:trPr>
        <w:tc>
          <w:tcPr>
            <w:tcW w:w="1546" w:type="dxa"/>
            <w:shd w:val="clear" w:color="auto" w:fill="6AB0FC"/>
            <w:tcMar>
              <w:top w:w="100" w:type="nil"/>
              <w:left w:w="100" w:type="nil"/>
              <w:bottom w:w="100" w:type="nil"/>
              <w:right w:w="100" w:type="nil"/>
            </w:tcMar>
            <w:vAlign w:val="center"/>
          </w:tcPr>
          <w:p w14:paraId="6E5C81F0" w14:textId="79CF148A" w:rsidR="006F50AD" w:rsidRPr="006F50AD" w:rsidRDefault="004A3B77" w:rsidP="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10</w:t>
            </w:r>
          </w:p>
        </w:tc>
        <w:tc>
          <w:tcPr>
            <w:tcW w:w="5219" w:type="dxa"/>
            <w:shd w:val="clear" w:color="auto" w:fill="6AB0FC"/>
            <w:tcMar>
              <w:top w:w="100" w:type="nil"/>
              <w:left w:w="100" w:type="nil"/>
              <w:bottom w:w="100" w:type="nil"/>
              <w:right w:w="100" w:type="nil"/>
            </w:tcMar>
            <w:vAlign w:val="center"/>
          </w:tcPr>
          <w:p w14:paraId="6DF1B657" w14:textId="0489E1E2"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sz w:val="20"/>
                <w:szCs w:val="20"/>
              </w:rPr>
              <w:t> </w:t>
            </w:r>
            <w:proofErr w:type="spellStart"/>
            <w:r w:rsidRPr="006F50AD">
              <w:rPr>
                <w:rFonts w:ascii="Arial" w:hAnsi="Arial" w:cs="Arial"/>
                <w:bCs/>
                <w:sz w:val="20"/>
                <w:szCs w:val="20"/>
              </w:rPr>
              <w:t>Paleocarbon</w:t>
            </w:r>
            <w:proofErr w:type="spellEnd"/>
            <w:r w:rsidRPr="006F50AD">
              <w:rPr>
                <w:rFonts w:ascii="Arial" w:hAnsi="Arial" w:cs="Arial"/>
                <w:bCs/>
                <w:sz w:val="20"/>
                <w:szCs w:val="20"/>
              </w:rPr>
              <w:t xml:space="preserve"> and the Long Tail</w:t>
            </w:r>
          </w:p>
        </w:tc>
        <w:tc>
          <w:tcPr>
            <w:tcW w:w="3332" w:type="dxa"/>
            <w:shd w:val="clear" w:color="auto" w:fill="6AB0FC"/>
            <w:tcMar>
              <w:top w:w="100" w:type="nil"/>
              <w:left w:w="100" w:type="nil"/>
              <w:bottom w:w="100" w:type="nil"/>
              <w:right w:w="100" w:type="nil"/>
            </w:tcMar>
            <w:vAlign w:val="center"/>
          </w:tcPr>
          <w:p w14:paraId="6CED2602" w14:textId="1F1A93A1"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 xml:space="preserve"> Archer &amp; </w:t>
            </w:r>
            <w:proofErr w:type="spellStart"/>
            <w:r w:rsidRPr="006F50AD">
              <w:rPr>
                <w:rFonts w:ascii="Arial" w:hAnsi="Arial" w:cs="Arial"/>
                <w:bCs/>
                <w:sz w:val="20"/>
                <w:szCs w:val="20"/>
              </w:rPr>
              <w:t>Brovkin</w:t>
            </w:r>
            <w:proofErr w:type="spellEnd"/>
          </w:p>
        </w:tc>
      </w:tr>
      <w:tr w:rsidR="00E92A6C" w:rsidRPr="006F50AD" w14:paraId="3C2EB576" w14:textId="77777777" w:rsidTr="00E92A6C">
        <w:tblPrEx>
          <w:tblBorders>
            <w:top w:val="none" w:sz="0" w:space="0" w:color="auto"/>
          </w:tblBorders>
        </w:tblPrEx>
        <w:trPr>
          <w:gridAfter w:val="2"/>
          <w:wAfter w:w="6038" w:type="dxa"/>
        </w:trPr>
        <w:tc>
          <w:tcPr>
            <w:tcW w:w="1546" w:type="dxa"/>
            <w:tcMar>
              <w:top w:w="100" w:type="nil"/>
              <w:left w:w="100" w:type="nil"/>
              <w:bottom w:w="100" w:type="nil"/>
              <w:right w:w="100" w:type="nil"/>
            </w:tcMar>
            <w:vAlign w:val="center"/>
          </w:tcPr>
          <w:p w14:paraId="5A4693F8" w14:textId="599E4D8C"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c>
          <w:tcPr>
            <w:tcW w:w="5219" w:type="dxa"/>
            <w:tcMar>
              <w:top w:w="100" w:type="nil"/>
              <w:left w:w="100" w:type="nil"/>
              <w:bottom w:w="100" w:type="nil"/>
              <w:right w:w="100" w:type="nil"/>
            </w:tcMar>
            <w:vAlign w:val="center"/>
          </w:tcPr>
          <w:p w14:paraId="60A77F89" w14:textId="2911C755"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c>
          <w:tcPr>
            <w:tcW w:w="3332" w:type="dxa"/>
            <w:tcMar>
              <w:top w:w="100" w:type="nil"/>
              <w:left w:w="100" w:type="nil"/>
              <w:bottom w:w="100" w:type="nil"/>
              <w:right w:w="100" w:type="nil"/>
            </w:tcMar>
            <w:vAlign w:val="center"/>
          </w:tcPr>
          <w:p w14:paraId="14D4A0EF" w14:textId="2A18C8B2"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r>
      <w:tr w:rsidR="00E92A6C" w:rsidRPr="006F50AD" w14:paraId="5C84140F" w14:textId="77777777" w:rsidTr="00E92A6C">
        <w:tblPrEx>
          <w:tblBorders>
            <w:top w:val="none" w:sz="0" w:space="0" w:color="auto"/>
          </w:tblBorders>
        </w:tblPrEx>
        <w:trPr>
          <w:gridAfter w:val="2"/>
          <w:wAfter w:w="6038" w:type="dxa"/>
        </w:trPr>
        <w:tc>
          <w:tcPr>
            <w:tcW w:w="10097" w:type="dxa"/>
            <w:gridSpan w:val="3"/>
            <w:shd w:val="clear" w:color="auto" w:fill="6DFFFC"/>
            <w:tcMar>
              <w:top w:w="100" w:type="nil"/>
              <w:left w:w="100" w:type="nil"/>
              <w:bottom w:w="100" w:type="nil"/>
              <w:right w:w="100" w:type="nil"/>
            </w:tcMar>
            <w:vAlign w:val="center"/>
          </w:tcPr>
          <w:p w14:paraId="66F43207" w14:textId="6F2D7E8B" w:rsidR="006F50AD" w:rsidRPr="006F50AD" w:rsidRDefault="006F50AD">
            <w:pPr>
              <w:widowControl w:val="0"/>
              <w:autoSpaceDE w:val="0"/>
              <w:autoSpaceDN w:val="0"/>
              <w:adjustRightInd w:val="0"/>
              <w:spacing w:after="0"/>
              <w:jc w:val="center"/>
              <w:rPr>
                <w:rFonts w:ascii="Lucida Sans Unicode" w:hAnsi="Lucida Sans Unicode" w:cs="Lucida Sans Unicode"/>
                <w:sz w:val="20"/>
                <w:szCs w:val="20"/>
              </w:rPr>
            </w:pPr>
            <w:r w:rsidRPr="006F50AD">
              <w:rPr>
                <w:rFonts w:ascii="Arial" w:hAnsi="Arial" w:cs="Arial"/>
                <w:sz w:val="20"/>
                <w:szCs w:val="20"/>
              </w:rPr>
              <w:t>  </w:t>
            </w:r>
            <w:r w:rsidRPr="006F50AD">
              <w:rPr>
                <w:rFonts w:ascii="Arial" w:hAnsi="Arial" w:cs="Arial"/>
                <w:bCs/>
                <w:sz w:val="20"/>
                <w:szCs w:val="20"/>
              </w:rPr>
              <w:t>ATMOSPHERE</w:t>
            </w:r>
            <w:r w:rsidR="004A3B77">
              <w:rPr>
                <w:rFonts w:ascii="Arial" w:hAnsi="Arial" w:cs="Arial"/>
                <w:bCs/>
                <w:sz w:val="20"/>
                <w:szCs w:val="20"/>
              </w:rPr>
              <w:br/>
            </w:r>
          </w:p>
        </w:tc>
      </w:tr>
      <w:tr w:rsidR="00E92A6C" w:rsidRPr="006F50AD" w14:paraId="5EDFA08D" w14:textId="77777777" w:rsidTr="00E92A6C">
        <w:tblPrEx>
          <w:tblBorders>
            <w:top w:val="none" w:sz="0" w:space="0" w:color="auto"/>
          </w:tblBorders>
        </w:tblPrEx>
        <w:trPr>
          <w:gridAfter w:val="2"/>
          <w:wAfter w:w="6038" w:type="dxa"/>
        </w:trPr>
        <w:tc>
          <w:tcPr>
            <w:tcW w:w="1546" w:type="dxa"/>
            <w:shd w:val="clear" w:color="auto" w:fill="6DFFFC"/>
            <w:tcMar>
              <w:top w:w="100" w:type="nil"/>
              <w:left w:w="100" w:type="nil"/>
              <w:bottom w:w="100" w:type="nil"/>
              <w:right w:w="100" w:type="nil"/>
            </w:tcMar>
            <w:vAlign w:val="center"/>
          </w:tcPr>
          <w:p w14:paraId="520275DD" w14:textId="1853ECF1" w:rsidR="006F50AD" w:rsidRPr="006F50AD" w:rsidRDefault="004A3B77" w:rsidP="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11</w:t>
            </w:r>
          </w:p>
        </w:tc>
        <w:tc>
          <w:tcPr>
            <w:tcW w:w="5219" w:type="dxa"/>
            <w:shd w:val="clear" w:color="auto" w:fill="6DFFFC"/>
            <w:tcMar>
              <w:top w:w="100" w:type="nil"/>
              <w:left w:w="100" w:type="nil"/>
              <w:bottom w:w="100" w:type="nil"/>
              <w:right w:w="100" w:type="nil"/>
            </w:tcMar>
            <w:vAlign w:val="center"/>
          </w:tcPr>
          <w:p w14:paraId="43708723" w14:textId="18F2B4CB" w:rsidR="006F50AD" w:rsidRPr="006F50AD" w:rsidRDefault="00765353">
            <w:pPr>
              <w:widowControl w:val="0"/>
              <w:autoSpaceDE w:val="0"/>
              <w:autoSpaceDN w:val="0"/>
              <w:adjustRightInd w:val="0"/>
              <w:spacing w:after="0"/>
              <w:rPr>
                <w:rFonts w:ascii="Lucida Sans Unicode" w:hAnsi="Lucida Sans Unicode" w:cs="Lucida Sans Unicode"/>
                <w:sz w:val="20"/>
                <w:szCs w:val="20"/>
              </w:rPr>
            </w:pPr>
            <w:hyperlink r:id="rId16" w:history="1">
              <w:r w:rsidR="006F50AD" w:rsidRPr="006F50AD">
                <w:rPr>
                  <w:rFonts w:ascii="Arial" w:hAnsi="Arial" w:cs="Arial"/>
                  <w:bCs/>
                  <w:sz w:val="20"/>
                  <w:szCs w:val="20"/>
                </w:rPr>
                <w:t>Observing Atmospheric CO2</w:t>
              </w:r>
            </w:hyperlink>
          </w:p>
        </w:tc>
        <w:tc>
          <w:tcPr>
            <w:tcW w:w="3332" w:type="dxa"/>
            <w:shd w:val="clear" w:color="auto" w:fill="6DFFFC"/>
            <w:tcMar>
              <w:top w:w="100" w:type="nil"/>
              <w:left w:w="100" w:type="nil"/>
              <w:bottom w:w="100" w:type="nil"/>
              <w:right w:w="100" w:type="nil"/>
            </w:tcMar>
            <w:vAlign w:val="center"/>
          </w:tcPr>
          <w:p w14:paraId="4EFD1A1D" w14:textId="48E851E0" w:rsidR="006F50AD" w:rsidRPr="006F50AD" w:rsidRDefault="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O’Dell</w:t>
            </w:r>
            <w:r w:rsidR="006F50AD" w:rsidRPr="006F50AD">
              <w:rPr>
                <w:rFonts w:ascii="Arial" w:hAnsi="Arial" w:cs="Arial"/>
                <w:bCs/>
                <w:sz w:val="20"/>
                <w:szCs w:val="20"/>
              </w:rPr>
              <w:t>, Graven</w:t>
            </w:r>
          </w:p>
        </w:tc>
      </w:tr>
      <w:tr w:rsidR="00E92A6C" w:rsidRPr="006F50AD" w14:paraId="7A013953" w14:textId="77777777" w:rsidTr="00E92A6C">
        <w:tblPrEx>
          <w:tblBorders>
            <w:top w:val="none" w:sz="0" w:space="0" w:color="auto"/>
          </w:tblBorders>
        </w:tblPrEx>
        <w:trPr>
          <w:gridAfter w:val="2"/>
          <w:wAfter w:w="6038" w:type="dxa"/>
        </w:trPr>
        <w:tc>
          <w:tcPr>
            <w:tcW w:w="1546" w:type="dxa"/>
            <w:shd w:val="clear" w:color="auto" w:fill="6DFFFC"/>
            <w:tcMar>
              <w:top w:w="100" w:type="nil"/>
              <w:left w:w="100" w:type="nil"/>
              <w:bottom w:w="100" w:type="nil"/>
              <w:right w:w="100" w:type="nil"/>
            </w:tcMar>
            <w:vAlign w:val="center"/>
          </w:tcPr>
          <w:p w14:paraId="441F2F24" w14:textId="66B5A84C" w:rsidR="006F50AD" w:rsidRPr="006F50AD" w:rsidRDefault="004A3B77" w:rsidP="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12</w:t>
            </w:r>
            <w:r w:rsidR="006F50AD" w:rsidRPr="006F50AD">
              <w:rPr>
                <w:rFonts w:ascii="Arial" w:hAnsi="Arial" w:cs="Arial"/>
                <w:bCs/>
                <w:sz w:val="20"/>
                <w:szCs w:val="20"/>
              </w:rPr>
              <w:t> </w:t>
            </w:r>
          </w:p>
        </w:tc>
        <w:tc>
          <w:tcPr>
            <w:tcW w:w="5219" w:type="dxa"/>
            <w:shd w:val="clear" w:color="auto" w:fill="6DFFFC"/>
            <w:tcMar>
              <w:top w:w="100" w:type="nil"/>
              <w:left w:w="100" w:type="nil"/>
              <w:bottom w:w="100" w:type="nil"/>
              <w:right w:w="100" w:type="nil"/>
            </w:tcMar>
            <w:vAlign w:val="center"/>
          </w:tcPr>
          <w:p w14:paraId="7B6063D2" w14:textId="575CAA00" w:rsidR="006F50AD" w:rsidRPr="006F50AD" w:rsidRDefault="00765353">
            <w:pPr>
              <w:widowControl w:val="0"/>
              <w:autoSpaceDE w:val="0"/>
              <w:autoSpaceDN w:val="0"/>
              <w:adjustRightInd w:val="0"/>
              <w:spacing w:after="0"/>
              <w:rPr>
                <w:rFonts w:ascii="Lucida Sans Unicode" w:hAnsi="Lucida Sans Unicode" w:cs="Lucida Sans Unicode"/>
                <w:sz w:val="20"/>
                <w:szCs w:val="20"/>
              </w:rPr>
            </w:pPr>
            <w:hyperlink r:id="rId17" w:history="1">
              <w:r w:rsidR="006F50AD" w:rsidRPr="006F50AD">
                <w:rPr>
                  <w:rFonts w:ascii="Arial" w:hAnsi="Arial" w:cs="Arial"/>
                  <w:bCs/>
                  <w:sz w:val="20"/>
                  <w:szCs w:val="20"/>
                </w:rPr>
                <w:t>Atmospheric Transport &amp; Inverse Modeling</w:t>
              </w:r>
            </w:hyperlink>
          </w:p>
        </w:tc>
        <w:tc>
          <w:tcPr>
            <w:tcW w:w="3332" w:type="dxa"/>
            <w:shd w:val="clear" w:color="auto" w:fill="6DFFFC"/>
            <w:tcMar>
              <w:top w:w="100" w:type="nil"/>
              <w:left w:w="100" w:type="nil"/>
              <w:bottom w:w="100" w:type="nil"/>
              <w:right w:w="100" w:type="nil"/>
            </w:tcMar>
            <w:vAlign w:val="center"/>
          </w:tcPr>
          <w:p w14:paraId="3BE27722" w14:textId="3D086C71" w:rsidR="004A3B77" w:rsidRPr="004A3B77" w:rsidRDefault="006F50AD">
            <w:pPr>
              <w:widowControl w:val="0"/>
              <w:autoSpaceDE w:val="0"/>
              <w:autoSpaceDN w:val="0"/>
              <w:adjustRightInd w:val="0"/>
              <w:spacing w:after="0"/>
              <w:rPr>
                <w:rFonts w:ascii="Arial" w:hAnsi="Arial" w:cs="Arial"/>
                <w:bCs/>
                <w:sz w:val="20"/>
                <w:szCs w:val="20"/>
              </w:rPr>
            </w:pPr>
            <w:r w:rsidRPr="006F50AD">
              <w:rPr>
                <w:rFonts w:ascii="Arial" w:hAnsi="Arial" w:cs="Arial"/>
                <w:bCs/>
                <w:sz w:val="20"/>
                <w:szCs w:val="20"/>
              </w:rPr>
              <w:t xml:space="preserve">Peters, </w:t>
            </w:r>
            <w:proofErr w:type="spellStart"/>
            <w:r w:rsidRPr="006F50AD">
              <w:rPr>
                <w:rFonts w:ascii="Arial" w:hAnsi="Arial" w:cs="Arial"/>
                <w:bCs/>
                <w:sz w:val="20"/>
                <w:szCs w:val="20"/>
              </w:rPr>
              <w:t>Schuh</w:t>
            </w:r>
            <w:proofErr w:type="spellEnd"/>
          </w:p>
        </w:tc>
      </w:tr>
      <w:tr w:rsidR="00E92A6C" w:rsidRPr="006F50AD" w14:paraId="3CE134A1" w14:textId="77777777" w:rsidTr="00E92A6C">
        <w:tblPrEx>
          <w:tblBorders>
            <w:top w:val="none" w:sz="0" w:space="0" w:color="auto"/>
          </w:tblBorders>
        </w:tblPrEx>
        <w:trPr>
          <w:gridAfter w:val="2"/>
          <w:wAfter w:w="6038" w:type="dxa"/>
        </w:trPr>
        <w:tc>
          <w:tcPr>
            <w:tcW w:w="1546" w:type="dxa"/>
            <w:shd w:val="clear" w:color="auto" w:fill="6DFFFC"/>
            <w:tcMar>
              <w:top w:w="100" w:type="nil"/>
              <w:left w:w="100" w:type="nil"/>
              <w:bottom w:w="100" w:type="nil"/>
              <w:right w:w="100" w:type="nil"/>
            </w:tcMar>
            <w:vAlign w:val="center"/>
          </w:tcPr>
          <w:p w14:paraId="1C012D86" w14:textId="0734ED84" w:rsidR="006F50AD" w:rsidRPr="006F50AD" w:rsidRDefault="004A3B77">
            <w:pPr>
              <w:widowControl w:val="0"/>
              <w:autoSpaceDE w:val="0"/>
              <w:autoSpaceDN w:val="0"/>
              <w:adjustRightInd w:val="0"/>
              <w:spacing w:after="0"/>
              <w:rPr>
                <w:rFonts w:ascii="Lucida Sans Unicode" w:hAnsi="Lucida Sans Unicode" w:cs="Lucida Sans Unicode"/>
                <w:sz w:val="20"/>
                <w:szCs w:val="20"/>
              </w:rPr>
            </w:pPr>
            <w:r>
              <w:rPr>
                <w:rFonts w:ascii="Lucida Sans Unicode" w:hAnsi="Lucida Sans Unicode" w:cs="Lucida Sans Unicode"/>
                <w:sz w:val="20"/>
                <w:szCs w:val="20"/>
              </w:rPr>
              <w:t>Week 13</w:t>
            </w:r>
          </w:p>
        </w:tc>
        <w:tc>
          <w:tcPr>
            <w:tcW w:w="5219" w:type="dxa"/>
            <w:shd w:val="clear" w:color="auto" w:fill="6DFFFC"/>
            <w:tcMar>
              <w:top w:w="100" w:type="nil"/>
              <w:left w:w="100" w:type="nil"/>
              <w:bottom w:w="100" w:type="nil"/>
              <w:right w:w="100" w:type="nil"/>
            </w:tcMar>
            <w:vAlign w:val="center"/>
          </w:tcPr>
          <w:p w14:paraId="743C37A2" w14:textId="148898DA" w:rsidR="006F50AD" w:rsidRPr="006F50AD" w:rsidRDefault="004A3B77">
            <w:pPr>
              <w:widowControl w:val="0"/>
              <w:autoSpaceDE w:val="0"/>
              <w:autoSpaceDN w:val="0"/>
              <w:adjustRightInd w:val="0"/>
              <w:spacing w:after="0"/>
              <w:rPr>
                <w:rFonts w:ascii="Lucida Sans Unicode" w:hAnsi="Lucida Sans Unicode" w:cs="Lucida Sans Unicode"/>
                <w:sz w:val="20"/>
                <w:szCs w:val="20"/>
              </w:rPr>
            </w:pPr>
            <w:r>
              <w:rPr>
                <w:rFonts w:ascii="Lucida Sans Unicode" w:hAnsi="Lucida Sans Unicode" w:cs="Lucida Sans Unicode"/>
                <w:sz w:val="20"/>
                <w:szCs w:val="20"/>
              </w:rPr>
              <w:t>Other Atmospheric Carbon Tracers</w:t>
            </w:r>
          </w:p>
        </w:tc>
        <w:tc>
          <w:tcPr>
            <w:tcW w:w="3332" w:type="dxa"/>
            <w:shd w:val="clear" w:color="auto" w:fill="6DFFFC"/>
            <w:tcMar>
              <w:top w:w="100" w:type="nil"/>
              <w:left w:w="100" w:type="nil"/>
              <w:bottom w:w="100" w:type="nil"/>
              <w:right w:w="100" w:type="nil"/>
            </w:tcMar>
            <w:vAlign w:val="center"/>
          </w:tcPr>
          <w:p w14:paraId="452F2668" w14:textId="509206C3" w:rsidR="006F50AD" w:rsidRPr="006F50AD" w:rsidRDefault="004A3B77">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Ballantyne</w:t>
            </w:r>
          </w:p>
        </w:tc>
      </w:tr>
      <w:tr w:rsidR="00E92A6C" w:rsidRPr="006F50AD" w14:paraId="43FDA23A" w14:textId="77777777" w:rsidTr="00E92A6C">
        <w:tblPrEx>
          <w:tblBorders>
            <w:top w:val="none" w:sz="0" w:space="0" w:color="auto"/>
          </w:tblBorders>
        </w:tblPrEx>
        <w:trPr>
          <w:gridAfter w:val="2"/>
          <w:wAfter w:w="6038" w:type="dxa"/>
        </w:trPr>
        <w:tc>
          <w:tcPr>
            <w:tcW w:w="1546" w:type="dxa"/>
            <w:tcMar>
              <w:top w:w="100" w:type="nil"/>
              <w:left w:w="100" w:type="nil"/>
              <w:bottom w:w="100" w:type="nil"/>
              <w:right w:w="100" w:type="nil"/>
            </w:tcMar>
            <w:vAlign w:val="center"/>
          </w:tcPr>
          <w:p w14:paraId="26ACDDF4" w14:textId="6CBBC130"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c>
          <w:tcPr>
            <w:tcW w:w="5219" w:type="dxa"/>
            <w:tcMar>
              <w:top w:w="100" w:type="nil"/>
              <w:left w:w="100" w:type="nil"/>
              <w:bottom w:w="100" w:type="nil"/>
              <w:right w:w="100" w:type="nil"/>
            </w:tcMar>
            <w:vAlign w:val="center"/>
          </w:tcPr>
          <w:p w14:paraId="50CBAED5" w14:textId="70B19C4B"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c>
          <w:tcPr>
            <w:tcW w:w="3332" w:type="dxa"/>
            <w:tcMar>
              <w:top w:w="100" w:type="nil"/>
              <w:left w:w="100" w:type="nil"/>
              <w:bottom w:w="100" w:type="nil"/>
              <w:right w:w="100" w:type="nil"/>
            </w:tcMar>
            <w:vAlign w:val="center"/>
          </w:tcPr>
          <w:p w14:paraId="30FF0F60" w14:textId="68C5EEB1"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
        </w:tc>
      </w:tr>
      <w:tr w:rsidR="00E92A6C" w:rsidRPr="006F50AD" w14:paraId="056ED58E" w14:textId="6DACF4AE" w:rsidTr="00E92A6C">
        <w:tblPrEx>
          <w:tblBorders>
            <w:top w:val="none" w:sz="0" w:space="0" w:color="auto"/>
          </w:tblBorders>
        </w:tblPrEx>
        <w:trPr>
          <w:trHeight w:val="279"/>
        </w:trPr>
        <w:tc>
          <w:tcPr>
            <w:tcW w:w="10097" w:type="dxa"/>
            <w:gridSpan w:val="3"/>
            <w:shd w:val="clear" w:color="auto" w:fill="F1FF0B"/>
            <w:tcMar>
              <w:top w:w="100" w:type="nil"/>
              <w:left w:w="100" w:type="nil"/>
              <w:bottom w:w="100" w:type="nil"/>
              <w:right w:w="100" w:type="nil"/>
            </w:tcMar>
            <w:vAlign w:val="center"/>
          </w:tcPr>
          <w:p w14:paraId="7445686E" w14:textId="68DB762F" w:rsidR="006F50AD" w:rsidRPr="006F50AD" w:rsidRDefault="006F50AD">
            <w:pPr>
              <w:widowControl w:val="0"/>
              <w:autoSpaceDE w:val="0"/>
              <w:autoSpaceDN w:val="0"/>
              <w:adjustRightInd w:val="0"/>
              <w:spacing w:after="0"/>
              <w:jc w:val="center"/>
              <w:rPr>
                <w:rFonts w:ascii="Lucida Sans Unicode" w:hAnsi="Lucida Sans Unicode" w:cs="Lucida Sans Unicode"/>
                <w:sz w:val="20"/>
                <w:szCs w:val="20"/>
              </w:rPr>
            </w:pPr>
            <w:r w:rsidRPr="006F50AD">
              <w:rPr>
                <w:rFonts w:ascii="Arial" w:hAnsi="Arial" w:cs="Arial"/>
                <w:sz w:val="20"/>
                <w:szCs w:val="20"/>
              </w:rPr>
              <w:t> </w:t>
            </w:r>
            <w:r w:rsidRPr="006F50AD">
              <w:rPr>
                <w:rFonts w:ascii="Arial" w:hAnsi="Arial" w:cs="Arial"/>
                <w:bCs/>
                <w:sz w:val="20"/>
                <w:szCs w:val="20"/>
              </w:rPr>
              <w:t> CLIMATE</w:t>
            </w:r>
          </w:p>
        </w:tc>
        <w:tc>
          <w:tcPr>
            <w:tcW w:w="3018" w:type="dxa"/>
            <w:vAlign w:val="center"/>
          </w:tcPr>
          <w:p w14:paraId="1F3396F9" w14:textId="77777777" w:rsidR="006F50AD" w:rsidRPr="006F50AD" w:rsidRDefault="006F50AD">
            <w:pPr>
              <w:rPr>
                <w:sz w:val="20"/>
                <w:szCs w:val="20"/>
              </w:rPr>
            </w:pPr>
          </w:p>
        </w:tc>
        <w:tc>
          <w:tcPr>
            <w:tcW w:w="3020" w:type="dxa"/>
            <w:vAlign w:val="center"/>
          </w:tcPr>
          <w:p w14:paraId="19338755" w14:textId="77777777" w:rsidR="006F50AD" w:rsidRPr="006F50AD" w:rsidRDefault="006F50AD">
            <w:pPr>
              <w:rPr>
                <w:sz w:val="20"/>
                <w:szCs w:val="20"/>
              </w:rPr>
            </w:pPr>
          </w:p>
        </w:tc>
      </w:tr>
      <w:tr w:rsidR="00E92A6C" w:rsidRPr="006F50AD" w14:paraId="238C5DD0" w14:textId="77777777" w:rsidTr="00E92A6C">
        <w:tblPrEx>
          <w:tblBorders>
            <w:top w:val="none" w:sz="0" w:space="0" w:color="auto"/>
          </w:tblBorders>
        </w:tblPrEx>
        <w:trPr>
          <w:gridAfter w:val="2"/>
          <w:wAfter w:w="6038" w:type="dxa"/>
          <w:trHeight w:val="288"/>
        </w:trPr>
        <w:tc>
          <w:tcPr>
            <w:tcW w:w="1546" w:type="dxa"/>
            <w:shd w:val="clear" w:color="auto" w:fill="F1FF0B"/>
            <w:tcMar>
              <w:top w:w="100" w:type="nil"/>
              <w:left w:w="100" w:type="nil"/>
              <w:bottom w:w="100" w:type="nil"/>
              <w:right w:w="100" w:type="nil"/>
            </w:tcMar>
            <w:vAlign w:val="center"/>
          </w:tcPr>
          <w:p w14:paraId="08036428" w14:textId="0F229200" w:rsidR="006F50AD" w:rsidRPr="006F50AD" w:rsidRDefault="004A3B77" w:rsidP="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14</w:t>
            </w:r>
          </w:p>
        </w:tc>
        <w:tc>
          <w:tcPr>
            <w:tcW w:w="5219" w:type="dxa"/>
            <w:shd w:val="clear" w:color="auto" w:fill="F1FF0B"/>
            <w:tcMar>
              <w:top w:w="100" w:type="nil"/>
              <w:left w:w="100" w:type="nil"/>
              <w:bottom w:w="100" w:type="nil"/>
              <w:right w:w="100" w:type="nil"/>
            </w:tcMar>
            <w:vAlign w:val="center"/>
          </w:tcPr>
          <w:p w14:paraId="05261585" w14:textId="27613D18"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sz w:val="20"/>
                <w:szCs w:val="20"/>
              </w:rPr>
              <w:t> </w:t>
            </w:r>
            <w:hyperlink r:id="rId18" w:history="1">
              <w:r w:rsidRPr="006F50AD">
                <w:rPr>
                  <w:rFonts w:ascii="Arial" w:hAnsi="Arial" w:cs="Arial"/>
                  <w:bCs/>
                  <w:sz w:val="20"/>
                  <w:szCs w:val="20"/>
                </w:rPr>
                <w:t>Carbon-Climate Feedback</w:t>
              </w:r>
            </w:hyperlink>
          </w:p>
        </w:tc>
        <w:tc>
          <w:tcPr>
            <w:tcW w:w="3332" w:type="dxa"/>
            <w:shd w:val="clear" w:color="auto" w:fill="F1FF0B"/>
            <w:tcMar>
              <w:top w:w="100" w:type="nil"/>
              <w:left w:w="100" w:type="nil"/>
              <w:bottom w:w="100" w:type="nil"/>
              <w:right w:w="100" w:type="nil"/>
            </w:tcMar>
            <w:vAlign w:val="center"/>
          </w:tcPr>
          <w:p w14:paraId="211451A1" w14:textId="5DC0A7C7"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proofErr w:type="spellStart"/>
            <w:r w:rsidRPr="006F50AD">
              <w:rPr>
                <w:rFonts w:ascii="Arial" w:hAnsi="Arial" w:cs="Arial"/>
                <w:bCs/>
                <w:sz w:val="20"/>
                <w:szCs w:val="20"/>
              </w:rPr>
              <w:t>Friedlingstein</w:t>
            </w:r>
            <w:proofErr w:type="spellEnd"/>
            <w:r w:rsidRPr="006F50AD">
              <w:rPr>
                <w:rFonts w:ascii="Arial" w:hAnsi="Arial" w:cs="Arial"/>
                <w:bCs/>
                <w:sz w:val="20"/>
                <w:szCs w:val="20"/>
              </w:rPr>
              <w:t>, Thornton</w:t>
            </w:r>
          </w:p>
        </w:tc>
      </w:tr>
      <w:tr w:rsidR="00E92A6C" w:rsidRPr="006F50AD" w14:paraId="4E3C9E7D" w14:textId="77777777" w:rsidTr="00E92A6C">
        <w:trPr>
          <w:gridAfter w:val="2"/>
          <w:wAfter w:w="6038" w:type="dxa"/>
        </w:trPr>
        <w:tc>
          <w:tcPr>
            <w:tcW w:w="1546" w:type="dxa"/>
            <w:shd w:val="clear" w:color="auto" w:fill="F1FF0B"/>
            <w:tcMar>
              <w:top w:w="100" w:type="nil"/>
              <w:left w:w="100" w:type="nil"/>
              <w:bottom w:w="100" w:type="nil"/>
              <w:right w:w="100" w:type="nil"/>
            </w:tcMar>
            <w:vAlign w:val="center"/>
          </w:tcPr>
          <w:p w14:paraId="5AF7C39C" w14:textId="3F08A715" w:rsidR="006F50AD" w:rsidRPr="006F50AD" w:rsidRDefault="004A3B77" w:rsidP="004A3B77">
            <w:pPr>
              <w:widowControl w:val="0"/>
              <w:autoSpaceDE w:val="0"/>
              <w:autoSpaceDN w:val="0"/>
              <w:adjustRightInd w:val="0"/>
              <w:spacing w:after="0"/>
              <w:rPr>
                <w:rFonts w:ascii="Lucida Sans Unicode" w:hAnsi="Lucida Sans Unicode" w:cs="Lucida Sans Unicode"/>
                <w:sz w:val="20"/>
                <w:szCs w:val="20"/>
              </w:rPr>
            </w:pPr>
            <w:r>
              <w:rPr>
                <w:rFonts w:ascii="Arial" w:hAnsi="Arial" w:cs="Arial"/>
                <w:bCs/>
                <w:sz w:val="20"/>
                <w:szCs w:val="20"/>
              </w:rPr>
              <w:t>Week 15</w:t>
            </w:r>
          </w:p>
        </w:tc>
        <w:tc>
          <w:tcPr>
            <w:tcW w:w="5219" w:type="dxa"/>
            <w:shd w:val="clear" w:color="auto" w:fill="F1FF0B"/>
            <w:tcMar>
              <w:top w:w="100" w:type="nil"/>
              <w:left w:w="100" w:type="nil"/>
              <w:bottom w:w="100" w:type="nil"/>
              <w:right w:w="100" w:type="nil"/>
            </w:tcMar>
            <w:vAlign w:val="center"/>
          </w:tcPr>
          <w:p w14:paraId="6E1829B6" w14:textId="37BD4AA2"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sz w:val="20"/>
                <w:szCs w:val="20"/>
              </w:rPr>
              <w:t> </w:t>
            </w:r>
            <w:r w:rsidRPr="006F50AD">
              <w:rPr>
                <w:rFonts w:ascii="Arial" w:hAnsi="Arial" w:cs="Arial"/>
                <w:bCs/>
                <w:sz w:val="20"/>
                <w:szCs w:val="20"/>
              </w:rPr>
              <w:t>21st Century Carbon &amp; Climate</w:t>
            </w:r>
          </w:p>
        </w:tc>
        <w:tc>
          <w:tcPr>
            <w:tcW w:w="3332" w:type="dxa"/>
            <w:shd w:val="clear" w:color="auto" w:fill="F1FF0B"/>
            <w:tcMar>
              <w:top w:w="100" w:type="nil"/>
              <w:left w:w="100" w:type="nil"/>
              <w:bottom w:w="100" w:type="nil"/>
              <w:right w:w="100" w:type="nil"/>
            </w:tcMar>
            <w:vAlign w:val="center"/>
          </w:tcPr>
          <w:p w14:paraId="3005167E" w14:textId="34AAA634" w:rsidR="006F50AD" w:rsidRPr="006F50AD" w:rsidRDefault="006F50AD">
            <w:pPr>
              <w:widowControl w:val="0"/>
              <w:autoSpaceDE w:val="0"/>
              <w:autoSpaceDN w:val="0"/>
              <w:adjustRightInd w:val="0"/>
              <w:spacing w:after="0"/>
              <w:rPr>
                <w:rFonts w:ascii="Lucida Sans Unicode" w:hAnsi="Lucida Sans Unicode" w:cs="Lucida Sans Unicode"/>
                <w:sz w:val="20"/>
                <w:szCs w:val="20"/>
              </w:rPr>
            </w:pPr>
            <w:r w:rsidRPr="006F50AD">
              <w:rPr>
                <w:rFonts w:ascii="Arial" w:hAnsi="Arial" w:cs="Arial"/>
                <w:bCs/>
                <w:sz w:val="20"/>
                <w:szCs w:val="20"/>
              </w:rPr>
              <w:t>Gregory, Arora</w:t>
            </w:r>
          </w:p>
        </w:tc>
      </w:tr>
    </w:tbl>
    <w:p w14:paraId="6032FAFA" w14:textId="77777777" w:rsidR="00B344AE" w:rsidRDefault="00B344AE">
      <w:pPr>
        <w:rPr>
          <w:rFonts w:ascii="Lucida Sans Unicode" w:hAnsi="Lucida Sans Unicode" w:cs="Lucida Sans Unicode"/>
          <w:color w:val="313131"/>
          <w:sz w:val="28"/>
          <w:szCs w:val="28"/>
        </w:rPr>
      </w:pPr>
    </w:p>
    <w:p w14:paraId="27A2DF83" w14:textId="3CA30479" w:rsidR="00640C7B" w:rsidRDefault="004A3B77" w:rsidP="00640C7B">
      <w:pPr>
        <w:rPr>
          <w:rFonts w:ascii="Lucida Sans Unicode" w:hAnsi="Lucida Sans Unicode" w:cs="Lucida Sans Unicode"/>
          <w:color w:val="313131"/>
        </w:rPr>
      </w:pPr>
      <w:r>
        <w:rPr>
          <w:rFonts w:ascii="Lucida Sans Unicode" w:hAnsi="Lucida Sans Unicode" w:cs="Lucida Sans Unicode"/>
          <w:color w:val="313131"/>
        </w:rPr>
        <w:t xml:space="preserve">We will take an all-day field trip </w:t>
      </w:r>
      <w:r w:rsidR="00B344AE" w:rsidRPr="00B344AE">
        <w:rPr>
          <w:rFonts w:ascii="Lucida Sans Unicode" w:hAnsi="Lucida Sans Unicode" w:cs="Lucida Sans Unicode"/>
          <w:color w:val="313131"/>
        </w:rPr>
        <w:t>to a subalpine eddy-covariance flux tower in the Medicine Bow National Forest of Wyoming</w:t>
      </w:r>
      <w:r>
        <w:rPr>
          <w:rFonts w:ascii="Lucida Sans Unicode" w:hAnsi="Lucida Sans Unicode" w:cs="Lucida Sans Unicode"/>
          <w:color w:val="313131"/>
        </w:rPr>
        <w:t xml:space="preserve"> which is documenting the collapse of a subalpine forest due to spruce beetle infestation</w:t>
      </w:r>
      <w:r w:rsidR="00B344AE" w:rsidRPr="00B344AE">
        <w:rPr>
          <w:rFonts w:ascii="Lucida Sans Unicode" w:hAnsi="Lucida Sans Unicode" w:cs="Lucida Sans Unicode"/>
          <w:color w:val="313131"/>
        </w:rPr>
        <w:t>.</w:t>
      </w:r>
    </w:p>
    <w:p w14:paraId="3446C486" w14:textId="19EE2957" w:rsidR="00A41D99" w:rsidRDefault="00A41D99">
      <w:pPr>
        <w:rPr>
          <w:rFonts w:ascii="Lucida Sans Unicode" w:hAnsi="Lucida Sans Unicode" w:cs="Lucida Sans Unicode"/>
          <w:color w:val="313131"/>
        </w:rPr>
      </w:pPr>
      <w:r>
        <w:rPr>
          <w:rFonts w:ascii="Lucida Sans Unicode" w:hAnsi="Lucida Sans Unicode" w:cs="Lucida Sans Unicode"/>
          <w:color w:val="313131"/>
        </w:rPr>
        <w:br w:type="page"/>
      </w:r>
    </w:p>
    <w:p w14:paraId="60B4AE38" w14:textId="3E8B52A6" w:rsidR="00A41D99" w:rsidRPr="00A41D99" w:rsidRDefault="00A41D99" w:rsidP="00A41D99">
      <w:pPr>
        <w:pStyle w:val="ListParagraph"/>
        <w:ind w:hanging="630"/>
        <w:jc w:val="center"/>
      </w:pPr>
      <w:r w:rsidRPr="00A41D99">
        <w:t>Readings</w:t>
      </w:r>
    </w:p>
    <w:p w14:paraId="4AB436FB" w14:textId="77777777" w:rsidR="00A41D99" w:rsidRPr="00EA004A" w:rsidRDefault="00A41D99" w:rsidP="00A41D99">
      <w:pPr>
        <w:pStyle w:val="ListParagraph"/>
        <w:spacing w:after="0"/>
        <w:ind w:hanging="630"/>
        <w:rPr>
          <w:sz w:val="20"/>
          <w:szCs w:val="20"/>
        </w:rPr>
      </w:pPr>
      <w:r w:rsidRPr="00EA004A">
        <w:rPr>
          <w:sz w:val="20"/>
          <w:szCs w:val="20"/>
        </w:rPr>
        <w:t>OVERVIEW</w:t>
      </w:r>
    </w:p>
    <w:p w14:paraId="7EAE10F9" w14:textId="77777777" w:rsidR="00A41D99" w:rsidRPr="00EA004A" w:rsidRDefault="00A41D99" w:rsidP="00A41D99">
      <w:pPr>
        <w:pStyle w:val="ListParagraph"/>
        <w:spacing w:after="0"/>
        <w:ind w:hanging="630"/>
        <w:rPr>
          <w:sz w:val="20"/>
          <w:szCs w:val="20"/>
        </w:rPr>
      </w:pPr>
    </w:p>
    <w:p w14:paraId="5F60FE80" w14:textId="77777777" w:rsidR="00D76CE4" w:rsidRPr="00D76CE4" w:rsidRDefault="00D76CE4" w:rsidP="00D76CE4">
      <w:pPr>
        <w:pStyle w:val="ListParagraph"/>
        <w:spacing w:after="0"/>
        <w:ind w:hanging="630"/>
        <w:rPr>
          <w:sz w:val="20"/>
          <w:szCs w:val="20"/>
        </w:rPr>
      </w:pPr>
      <w:r w:rsidRPr="00D76CE4">
        <w:rPr>
          <w:sz w:val="20"/>
          <w:szCs w:val="20"/>
        </w:rPr>
        <w:t xml:space="preserve">Denning, A. S. (2017), Combustion to Concentration to Warming: What Do Climate Targets Mean for Emissions? Climate Change and the Global Carbon Cycle, in </w:t>
      </w:r>
      <w:r w:rsidRPr="00D76CE4">
        <w:rPr>
          <w:i/>
          <w:iCs/>
          <w:sz w:val="20"/>
          <w:szCs w:val="20"/>
        </w:rPr>
        <w:t>Reference Module in Earth Systems and Environmental Sciences</w:t>
      </w:r>
      <w:r w:rsidRPr="00D76CE4">
        <w:rPr>
          <w:sz w:val="20"/>
          <w:szCs w:val="20"/>
        </w:rPr>
        <w:t>, pp. 1–11, Elsevier.</w:t>
      </w:r>
    </w:p>
    <w:p w14:paraId="204F7D12" w14:textId="77777777" w:rsidR="00D76CE4" w:rsidRDefault="00E66572" w:rsidP="00E66572">
      <w:pPr>
        <w:pStyle w:val="ListParagraph"/>
        <w:spacing w:after="0"/>
        <w:ind w:hanging="630"/>
        <w:rPr>
          <w:sz w:val="20"/>
          <w:szCs w:val="20"/>
        </w:rPr>
      </w:pPr>
      <w:r w:rsidRPr="00EA004A">
        <w:rPr>
          <w:sz w:val="20"/>
          <w:szCs w:val="20"/>
        </w:rPr>
        <w:t xml:space="preserve"> </w:t>
      </w:r>
      <w:proofErr w:type="spellStart"/>
      <w:r w:rsidR="00A41D99" w:rsidRPr="00EA004A">
        <w:rPr>
          <w:sz w:val="20"/>
          <w:szCs w:val="20"/>
        </w:rPr>
        <w:t>LeQuere</w:t>
      </w:r>
      <w:proofErr w:type="spellEnd"/>
      <w:r w:rsidR="00A41D99" w:rsidRPr="00EA004A">
        <w:rPr>
          <w:sz w:val="20"/>
          <w:szCs w:val="20"/>
        </w:rPr>
        <w:t>, C. et al. (2013), The global carbon budget 1959–2011, Earth Syst. Sci. Data, 5(1), 165–185, doi:10.5194/essd-5-165-2013. (PDF)</w:t>
      </w:r>
    </w:p>
    <w:p w14:paraId="39D969D8" w14:textId="247DED83" w:rsidR="00A41D99" w:rsidRPr="00EA004A" w:rsidRDefault="00A41D99" w:rsidP="00E66572">
      <w:pPr>
        <w:pStyle w:val="ListParagraph"/>
        <w:spacing w:after="0"/>
        <w:ind w:hanging="630"/>
        <w:rPr>
          <w:sz w:val="20"/>
          <w:szCs w:val="20"/>
        </w:rPr>
      </w:pPr>
      <w:r w:rsidRPr="00EA004A">
        <w:rPr>
          <w:sz w:val="20"/>
          <w:szCs w:val="20"/>
        </w:rPr>
        <w:t xml:space="preserve"> </w:t>
      </w:r>
    </w:p>
    <w:p w14:paraId="64BE548A" w14:textId="77777777" w:rsidR="00A41D99" w:rsidRPr="00EA004A" w:rsidRDefault="00A41D99" w:rsidP="00A41D99">
      <w:pPr>
        <w:pStyle w:val="ListParagraph"/>
        <w:spacing w:after="0"/>
        <w:ind w:hanging="630"/>
        <w:rPr>
          <w:sz w:val="20"/>
          <w:szCs w:val="20"/>
        </w:rPr>
      </w:pPr>
    </w:p>
    <w:p w14:paraId="74BE2080" w14:textId="77777777" w:rsidR="00A41D99" w:rsidRPr="00EA004A" w:rsidRDefault="00A41D99" w:rsidP="00A41D99">
      <w:pPr>
        <w:pStyle w:val="ListParagraph"/>
        <w:spacing w:after="0"/>
        <w:ind w:hanging="630"/>
        <w:rPr>
          <w:sz w:val="20"/>
          <w:szCs w:val="20"/>
        </w:rPr>
      </w:pPr>
      <w:r w:rsidRPr="00EA004A">
        <w:rPr>
          <w:sz w:val="20"/>
          <w:szCs w:val="20"/>
        </w:rPr>
        <w:t>LAND</w:t>
      </w:r>
    </w:p>
    <w:p w14:paraId="3CF1BDB2" w14:textId="77777777" w:rsidR="00A41D99" w:rsidRPr="00EA004A" w:rsidRDefault="00A41D99" w:rsidP="00A41D99">
      <w:pPr>
        <w:pStyle w:val="ListParagraph"/>
        <w:spacing w:after="0"/>
        <w:ind w:hanging="630"/>
        <w:rPr>
          <w:sz w:val="20"/>
          <w:szCs w:val="20"/>
        </w:rPr>
      </w:pPr>
    </w:p>
    <w:p w14:paraId="2926D706" w14:textId="087ACD3D" w:rsidR="00A41D99" w:rsidRPr="00EA004A" w:rsidRDefault="00A41D99" w:rsidP="00EA004A">
      <w:pPr>
        <w:pStyle w:val="ListParagraph"/>
        <w:spacing w:after="0"/>
        <w:ind w:hanging="630"/>
        <w:rPr>
          <w:sz w:val="20"/>
          <w:szCs w:val="20"/>
        </w:rPr>
      </w:pPr>
      <w:r w:rsidRPr="00EA004A">
        <w:rPr>
          <w:sz w:val="20"/>
          <w:szCs w:val="20"/>
        </w:rPr>
        <w:t>Denning, S. (1993), Relating Surface Energy Budgets to the Biochemistry of Photosynthesis: A Review for Non-Biologists, unpublished manuscript. (PDF)</w:t>
      </w:r>
    </w:p>
    <w:p w14:paraId="5BC982E3" w14:textId="58D81B64" w:rsidR="00A41D99" w:rsidRPr="00EA004A" w:rsidRDefault="00A41D99" w:rsidP="00EA004A">
      <w:pPr>
        <w:pStyle w:val="ListParagraph"/>
        <w:spacing w:after="0"/>
        <w:ind w:hanging="630"/>
        <w:rPr>
          <w:sz w:val="20"/>
          <w:szCs w:val="20"/>
        </w:rPr>
      </w:pPr>
      <w:proofErr w:type="spellStart"/>
      <w:r w:rsidRPr="00EA004A">
        <w:rPr>
          <w:sz w:val="20"/>
          <w:szCs w:val="20"/>
        </w:rPr>
        <w:t>Bonan</w:t>
      </w:r>
      <w:proofErr w:type="spellEnd"/>
      <w:r w:rsidRPr="00EA004A">
        <w:rPr>
          <w:sz w:val="20"/>
          <w:szCs w:val="20"/>
        </w:rPr>
        <w:t xml:space="preserve">, G. 2008. “Chapter 17: Leaf Photosynthesis.”  In: Gordon </w:t>
      </w:r>
      <w:proofErr w:type="spellStart"/>
      <w:r w:rsidRPr="00EA004A">
        <w:rPr>
          <w:sz w:val="20"/>
          <w:szCs w:val="20"/>
        </w:rPr>
        <w:t>Bonan</w:t>
      </w:r>
      <w:proofErr w:type="spellEnd"/>
      <w:r w:rsidRPr="00EA004A">
        <w:rPr>
          <w:sz w:val="20"/>
          <w:szCs w:val="20"/>
        </w:rPr>
        <w:t>, Ecological Climatology — Concepts and Applications. Cambridge University Press. p 237-252. (PDF)</w:t>
      </w:r>
    </w:p>
    <w:p w14:paraId="478014C3" w14:textId="698081BE" w:rsidR="00A41D99" w:rsidRPr="00EA004A" w:rsidRDefault="00A41D99" w:rsidP="00EA004A">
      <w:pPr>
        <w:pStyle w:val="ListParagraph"/>
        <w:spacing w:after="0"/>
        <w:ind w:hanging="630"/>
        <w:rPr>
          <w:sz w:val="20"/>
          <w:szCs w:val="20"/>
        </w:rPr>
      </w:pPr>
      <w:r w:rsidRPr="00EA004A">
        <w:rPr>
          <w:sz w:val="20"/>
          <w:szCs w:val="20"/>
        </w:rPr>
        <w:t>Schulze, E.-D., 2002. “Carbon Turnover.” In: E.D. Schulze, E. Beck, and K. Muller-</w:t>
      </w:r>
      <w:proofErr w:type="spellStart"/>
      <w:r w:rsidRPr="00EA004A">
        <w:rPr>
          <w:sz w:val="20"/>
          <w:szCs w:val="20"/>
        </w:rPr>
        <w:t>Hohenstein</w:t>
      </w:r>
      <w:proofErr w:type="spellEnd"/>
      <w:r w:rsidRPr="00EA004A">
        <w:rPr>
          <w:sz w:val="20"/>
          <w:szCs w:val="20"/>
        </w:rPr>
        <w:t>, Plant Ecology. Springer. p. 427-438. (PDF)</w:t>
      </w:r>
    </w:p>
    <w:p w14:paraId="56B9DF85" w14:textId="32791DDE" w:rsidR="00A41D99" w:rsidRPr="00EA004A" w:rsidRDefault="00A41D99" w:rsidP="00EA004A">
      <w:pPr>
        <w:pStyle w:val="ListParagraph"/>
        <w:spacing w:after="0"/>
        <w:ind w:hanging="630"/>
        <w:rPr>
          <w:sz w:val="20"/>
          <w:szCs w:val="20"/>
        </w:rPr>
      </w:pPr>
      <w:r w:rsidRPr="00EA004A">
        <w:rPr>
          <w:sz w:val="20"/>
          <w:szCs w:val="20"/>
        </w:rPr>
        <w:t>Luo, Y. Q., D. Hui, and D. Zhang (2006), Elevated CO2 stimulates net accumulations of carbon and nitrogen in land ecosystems: a meta-analysis, Ecology, 87(1), 53–</w:t>
      </w:r>
      <w:proofErr w:type="gramStart"/>
      <w:r w:rsidRPr="00EA004A">
        <w:rPr>
          <w:sz w:val="20"/>
          <w:szCs w:val="20"/>
        </w:rPr>
        <w:t>63.(</w:t>
      </w:r>
      <w:proofErr w:type="gramEnd"/>
      <w:r w:rsidRPr="00EA004A">
        <w:rPr>
          <w:sz w:val="20"/>
          <w:szCs w:val="20"/>
        </w:rPr>
        <w:t>PDF)</w:t>
      </w:r>
    </w:p>
    <w:p w14:paraId="075E0246" w14:textId="154E486D" w:rsidR="00A41D99" w:rsidRPr="00EA004A" w:rsidRDefault="00A41D99" w:rsidP="00EA004A">
      <w:pPr>
        <w:pStyle w:val="ListParagraph"/>
        <w:spacing w:after="0"/>
        <w:ind w:hanging="630"/>
        <w:rPr>
          <w:sz w:val="20"/>
          <w:szCs w:val="20"/>
        </w:rPr>
      </w:pPr>
      <w:proofErr w:type="spellStart"/>
      <w:r w:rsidRPr="00EA004A">
        <w:rPr>
          <w:sz w:val="20"/>
          <w:szCs w:val="20"/>
        </w:rPr>
        <w:t>Finzi</w:t>
      </w:r>
      <w:proofErr w:type="spellEnd"/>
      <w:r w:rsidRPr="00EA004A">
        <w:rPr>
          <w:sz w:val="20"/>
          <w:szCs w:val="20"/>
        </w:rPr>
        <w:t xml:space="preserve">, A. C., D. J. P. Moore, E. H. </w:t>
      </w:r>
      <w:proofErr w:type="spellStart"/>
      <w:r w:rsidRPr="00EA004A">
        <w:rPr>
          <w:sz w:val="20"/>
          <w:szCs w:val="20"/>
        </w:rPr>
        <w:t>DeLucia</w:t>
      </w:r>
      <w:proofErr w:type="spellEnd"/>
      <w:r w:rsidRPr="00EA004A">
        <w:rPr>
          <w:sz w:val="20"/>
          <w:szCs w:val="20"/>
        </w:rPr>
        <w:t xml:space="preserve">, J. </w:t>
      </w:r>
      <w:proofErr w:type="spellStart"/>
      <w:r w:rsidRPr="00EA004A">
        <w:rPr>
          <w:sz w:val="20"/>
          <w:szCs w:val="20"/>
        </w:rPr>
        <w:t>Lichter</w:t>
      </w:r>
      <w:proofErr w:type="spellEnd"/>
      <w:r w:rsidRPr="00EA004A">
        <w:rPr>
          <w:sz w:val="20"/>
          <w:szCs w:val="20"/>
        </w:rPr>
        <w:t xml:space="preserve">, K. S. </w:t>
      </w:r>
      <w:proofErr w:type="spellStart"/>
      <w:r w:rsidRPr="00EA004A">
        <w:rPr>
          <w:sz w:val="20"/>
          <w:szCs w:val="20"/>
        </w:rPr>
        <w:t>Hofmockel</w:t>
      </w:r>
      <w:proofErr w:type="spellEnd"/>
      <w:r w:rsidRPr="00EA004A">
        <w:rPr>
          <w:sz w:val="20"/>
          <w:szCs w:val="20"/>
        </w:rPr>
        <w:t xml:space="preserve">, R. B. Jackson, H. S. Kim, R. </w:t>
      </w:r>
      <w:proofErr w:type="spellStart"/>
      <w:r w:rsidRPr="00EA004A">
        <w:rPr>
          <w:sz w:val="20"/>
          <w:szCs w:val="20"/>
        </w:rPr>
        <w:t>Matamala</w:t>
      </w:r>
      <w:proofErr w:type="spellEnd"/>
      <w:r w:rsidRPr="00EA004A">
        <w:rPr>
          <w:sz w:val="20"/>
          <w:szCs w:val="20"/>
        </w:rPr>
        <w:t xml:space="preserve">, H. R. </w:t>
      </w:r>
      <w:proofErr w:type="spellStart"/>
      <w:r w:rsidRPr="00EA004A">
        <w:rPr>
          <w:sz w:val="20"/>
          <w:szCs w:val="20"/>
        </w:rPr>
        <w:t>McCARTHY</w:t>
      </w:r>
      <w:proofErr w:type="spellEnd"/>
      <w:r w:rsidRPr="00EA004A">
        <w:rPr>
          <w:sz w:val="20"/>
          <w:szCs w:val="20"/>
        </w:rPr>
        <w:t>, and R. Oren (2006), Progressive nitrogen limitation of ecosystem processes under elevated CO2 in a warm-temperate forest, Ecology, 87(1), 15–25. (PDF)</w:t>
      </w:r>
    </w:p>
    <w:p w14:paraId="136FC7A9" w14:textId="2D841037" w:rsidR="00A41D99" w:rsidRPr="00EA004A" w:rsidRDefault="00A41D99" w:rsidP="00EA004A">
      <w:pPr>
        <w:pStyle w:val="ListParagraph"/>
        <w:spacing w:after="0"/>
        <w:ind w:hanging="630"/>
        <w:rPr>
          <w:sz w:val="20"/>
          <w:szCs w:val="20"/>
        </w:rPr>
      </w:pPr>
      <w:proofErr w:type="spellStart"/>
      <w:r w:rsidRPr="00EA004A">
        <w:rPr>
          <w:sz w:val="20"/>
          <w:szCs w:val="20"/>
        </w:rPr>
        <w:t>LeBauer</w:t>
      </w:r>
      <w:proofErr w:type="spellEnd"/>
      <w:r w:rsidRPr="00EA004A">
        <w:rPr>
          <w:sz w:val="20"/>
          <w:szCs w:val="20"/>
        </w:rPr>
        <w:t xml:space="preserve">, D. S., and K. K. </w:t>
      </w:r>
      <w:proofErr w:type="spellStart"/>
      <w:r w:rsidRPr="00EA004A">
        <w:rPr>
          <w:sz w:val="20"/>
          <w:szCs w:val="20"/>
        </w:rPr>
        <w:t>Treseder</w:t>
      </w:r>
      <w:proofErr w:type="spellEnd"/>
      <w:r w:rsidRPr="00EA004A">
        <w:rPr>
          <w:sz w:val="20"/>
          <w:szCs w:val="20"/>
        </w:rPr>
        <w:t xml:space="preserve"> (2008), Nitrogen limitation of net primary productivity in terrestrial ecosystems is globally distributed, Ecology, 89(2), 371–379. (PDF)</w:t>
      </w:r>
    </w:p>
    <w:p w14:paraId="612B8BAE" w14:textId="564E6E4E" w:rsidR="00A41D99" w:rsidRPr="00EA004A" w:rsidRDefault="00A41D99" w:rsidP="00EA004A">
      <w:pPr>
        <w:pStyle w:val="ListParagraph"/>
        <w:spacing w:after="0"/>
        <w:ind w:hanging="630"/>
        <w:rPr>
          <w:sz w:val="20"/>
          <w:szCs w:val="20"/>
        </w:rPr>
      </w:pPr>
      <w:proofErr w:type="spellStart"/>
      <w:r w:rsidRPr="00EA004A">
        <w:rPr>
          <w:sz w:val="20"/>
          <w:szCs w:val="20"/>
        </w:rPr>
        <w:t>Norby</w:t>
      </w:r>
      <w:proofErr w:type="spellEnd"/>
      <w:r w:rsidRPr="00EA004A">
        <w:rPr>
          <w:sz w:val="20"/>
          <w:szCs w:val="20"/>
        </w:rPr>
        <w:t xml:space="preserve">, R. J., J. M. Warren, C. M. </w:t>
      </w:r>
      <w:proofErr w:type="spellStart"/>
      <w:r w:rsidRPr="00EA004A">
        <w:rPr>
          <w:sz w:val="20"/>
          <w:szCs w:val="20"/>
        </w:rPr>
        <w:t>Iversen</w:t>
      </w:r>
      <w:proofErr w:type="spellEnd"/>
      <w:r w:rsidRPr="00EA004A">
        <w:rPr>
          <w:sz w:val="20"/>
          <w:szCs w:val="20"/>
        </w:rPr>
        <w:t xml:space="preserve">, B. E. </w:t>
      </w:r>
      <w:proofErr w:type="spellStart"/>
      <w:r w:rsidRPr="00EA004A">
        <w:rPr>
          <w:sz w:val="20"/>
          <w:szCs w:val="20"/>
        </w:rPr>
        <w:t>Medlyn</w:t>
      </w:r>
      <w:proofErr w:type="spellEnd"/>
      <w:r w:rsidRPr="00EA004A">
        <w:rPr>
          <w:sz w:val="20"/>
          <w:szCs w:val="20"/>
        </w:rPr>
        <w:t xml:space="preserve">, and R. E. </w:t>
      </w:r>
      <w:proofErr w:type="spellStart"/>
      <w:r w:rsidRPr="00EA004A">
        <w:rPr>
          <w:sz w:val="20"/>
          <w:szCs w:val="20"/>
        </w:rPr>
        <w:t>McMurtrie</w:t>
      </w:r>
      <w:proofErr w:type="spellEnd"/>
      <w:r w:rsidRPr="00EA004A">
        <w:rPr>
          <w:sz w:val="20"/>
          <w:szCs w:val="20"/>
        </w:rPr>
        <w:t xml:space="preserve"> (2010), From the Cover: CO2 enhancement of forest productivity constrained by limited nitrogen availability, </w:t>
      </w:r>
      <w:proofErr w:type="spellStart"/>
      <w:r w:rsidRPr="00EA004A">
        <w:rPr>
          <w:sz w:val="20"/>
          <w:szCs w:val="20"/>
        </w:rPr>
        <w:t>Proc.Nat</w:t>
      </w:r>
      <w:proofErr w:type="spellEnd"/>
      <w:r w:rsidRPr="00EA004A">
        <w:rPr>
          <w:sz w:val="20"/>
          <w:szCs w:val="20"/>
        </w:rPr>
        <w:t xml:space="preserve">. Acad. </w:t>
      </w:r>
      <w:proofErr w:type="spellStart"/>
      <w:r w:rsidRPr="00EA004A">
        <w:rPr>
          <w:sz w:val="20"/>
          <w:szCs w:val="20"/>
        </w:rPr>
        <w:t>Sci</w:t>
      </w:r>
      <w:proofErr w:type="spellEnd"/>
      <w:r w:rsidRPr="00EA004A">
        <w:rPr>
          <w:sz w:val="20"/>
          <w:szCs w:val="20"/>
        </w:rPr>
        <w:t>, 107(45), 19368–19373, doi:10.1073/pnas.1006463107. (PDF)</w:t>
      </w:r>
    </w:p>
    <w:p w14:paraId="6591BBFF" w14:textId="2E9435E6" w:rsidR="00A41D99" w:rsidRPr="00EA004A" w:rsidRDefault="00A41D99" w:rsidP="00EA004A">
      <w:pPr>
        <w:pStyle w:val="ListParagraph"/>
        <w:spacing w:after="0"/>
        <w:ind w:hanging="630"/>
        <w:rPr>
          <w:sz w:val="20"/>
          <w:szCs w:val="20"/>
        </w:rPr>
      </w:pPr>
      <w:proofErr w:type="spellStart"/>
      <w:r w:rsidRPr="00EA004A">
        <w:rPr>
          <w:sz w:val="20"/>
          <w:szCs w:val="20"/>
        </w:rPr>
        <w:t>Baldocchi</w:t>
      </w:r>
      <w:proofErr w:type="spellEnd"/>
      <w:r w:rsidRPr="00EA004A">
        <w:rPr>
          <w:sz w:val="20"/>
          <w:szCs w:val="20"/>
        </w:rPr>
        <w:t>, D. (2003), Assessing the eddy covariance technique for evaluating carbon dioxide exchange rates of ecosystems: past, present and future, Global Change Biology, 9(4), 479–492. (PDF)</w:t>
      </w:r>
    </w:p>
    <w:p w14:paraId="6E7526BF" w14:textId="457B537D" w:rsidR="00A41D99" w:rsidRPr="00EA004A" w:rsidRDefault="00A41D99" w:rsidP="00EA004A">
      <w:pPr>
        <w:pStyle w:val="ListParagraph"/>
        <w:spacing w:after="0"/>
        <w:ind w:hanging="630"/>
        <w:rPr>
          <w:sz w:val="20"/>
          <w:szCs w:val="20"/>
        </w:rPr>
      </w:pPr>
      <w:r w:rsidRPr="00EA004A">
        <w:rPr>
          <w:sz w:val="20"/>
          <w:szCs w:val="20"/>
        </w:rPr>
        <w:t>Beer, C. et al. (2010), Terrestrial Gross Carbon Dioxide Uptake: Global Distribution and Covariation with Climate, Science, 329(5993), 834–838, doi:10.1126/science.1184984. (PDF)</w:t>
      </w:r>
    </w:p>
    <w:p w14:paraId="35166BEF" w14:textId="1ECE6E08" w:rsidR="00A41D99" w:rsidRPr="00EA004A" w:rsidRDefault="00A41D99" w:rsidP="00EA004A">
      <w:pPr>
        <w:pStyle w:val="ListParagraph"/>
        <w:spacing w:after="0"/>
        <w:ind w:hanging="630"/>
        <w:rPr>
          <w:sz w:val="20"/>
          <w:szCs w:val="20"/>
        </w:rPr>
      </w:pPr>
      <w:proofErr w:type="spellStart"/>
      <w:r w:rsidRPr="00EA004A">
        <w:rPr>
          <w:sz w:val="20"/>
          <w:szCs w:val="20"/>
        </w:rPr>
        <w:t>Kurz</w:t>
      </w:r>
      <w:proofErr w:type="spellEnd"/>
      <w:r w:rsidRPr="00EA004A">
        <w:rPr>
          <w:sz w:val="20"/>
          <w:szCs w:val="20"/>
        </w:rPr>
        <w:t xml:space="preserve">, W. A., C. C. </w:t>
      </w:r>
      <w:proofErr w:type="spellStart"/>
      <w:r w:rsidRPr="00EA004A">
        <w:rPr>
          <w:sz w:val="20"/>
          <w:szCs w:val="20"/>
        </w:rPr>
        <w:t>Dymond</w:t>
      </w:r>
      <w:proofErr w:type="spellEnd"/>
      <w:r w:rsidRPr="00EA004A">
        <w:rPr>
          <w:sz w:val="20"/>
          <w:szCs w:val="20"/>
        </w:rPr>
        <w:t xml:space="preserve">, G. Stinson, G. J. </w:t>
      </w:r>
      <w:proofErr w:type="spellStart"/>
      <w:r w:rsidRPr="00EA004A">
        <w:rPr>
          <w:sz w:val="20"/>
          <w:szCs w:val="20"/>
        </w:rPr>
        <w:t>Rampley</w:t>
      </w:r>
      <w:proofErr w:type="spellEnd"/>
      <w:r w:rsidRPr="00EA004A">
        <w:rPr>
          <w:sz w:val="20"/>
          <w:szCs w:val="20"/>
        </w:rPr>
        <w:t xml:space="preserve">, E. T. Neilson, A. L. Carroll, T. Ebata, and L. </w:t>
      </w:r>
      <w:proofErr w:type="spellStart"/>
      <w:r w:rsidRPr="00EA004A">
        <w:rPr>
          <w:sz w:val="20"/>
          <w:szCs w:val="20"/>
        </w:rPr>
        <w:t>Safranyik</w:t>
      </w:r>
      <w:proofErr w:type="spellEnd"/>
      <w:r w:rsidRPr="00EA004A">
        <w:rPr>
          <w:sz w:val="20"/>
          <w:szCs w:val="20"/>
        </w:rPr>
        <w:t xml:space="preserve"> (2008), Mountain pine beetle and forest carbon feedback to climate change, Nature, 452(7190), 987–990, doi:10.1038/nature06777. (PDF)</w:t>
      </w:r>
    </w:p>
    <w:p w14:paraId="45CE6EC0" w14:textId="72C43040" w:rsidR="00A41D99" w:rsidRPr="00EA004A" w:rsidRDefault="00A41D99" w:rsidP="00EA004A">
      <w:pPr>
        <w:pStyle w:val="ListParagraph"/>
        <w:spacing w:after="0"/>
        <w:ind w:hanging="630"/>
        <w:rPr>
          <w:sz w:val="20"/>
          <w:szCs w:val="20"/>
        </w:rPr>
      </w:pPr>
      <w:r w:rsidRPr="00EA004A">
        <w:rPr>
          <w:sz w:val="20"/>
          <w:szCs w:val="20"/>
        </w:rPr>
        <w:t xml:space="preserve">Pan, Y., J. M. Chen, R. A. </w:t>
      </w:r>
      <w:proofErr w:type="spellStart"/>
      <w:r w:rsidRPr="00EA004A">
        <w:rPr>
          <w:sz w:val="20"/>
          <w:szCs w:val="20"/>
        </w:rPr>
        <w:t>Birdsey</w:t>
      </w:r>
      <w:proofErr w:type="spellEnd"/>
      <w:r w:rsidRPr="00EA004A">
        <w:rPr>
          <w:sz w:val="20"/>
          <w:szCs w:val="20"/>
        </w:rPr>
        <w:t xml:space="preserve">, K. McCullough, L. He, and F. Deng (2011a), Age structure and disturbance legacy of North American forests, </w:t>
      </w:r>
      <w:proofErr w:type="spellStart"/>
      <w:r w:rsidRPr="00EA004A">
        <w:rPr>
          <w:sz w:val="20"/>
          <w:szCs w:val="20"/>
        </w:rPr>
        <w:t>Biogeosciences</w:t>
      </w:r>
      <w:proofErr w:type="spellEnd"/>
      <w:r w:rsidRPr="00EA004A">
        <w:rPr>
          <w:sz w:val="20"/>
          <w:szCs w:val="20"/>
        </w:rPr>
        <w:t>, 8(3), 715–732, doi:10.5194/bg-8-715-2011. (PDF)</w:t>
      </w:r>
    </w:p>
    <w:p w14:paraId="6CCDCE8E" w14:textId="53E7BEDF" w:rsidR="00A41D99" w:rsidRPr="00EA004A" w:rsidRDefault="00A41D99" w:rsidP="00EA004A">
      <w:pPr>
        <w:pStyle w:val="ListParagraph"/>
        <w:spacing w:after="0"/>
        <w:ind w:hanging="630"/>
        <w:rPr>
          <w:sz w:val="20"/>
          <w:szCs w:val="20"/>
        </w:rPr>
      </w:pPr>
      <w:proofErr w:type="spellStart"/>
      <w:r w:rsidRPr="00EA004A">
        <w:rPr>
          <w:sz w:val="20"/>
          <w:szCs w:val="20"/>
        </w:rPr>
        <w:t>Shevliakova</w:t>
      </w:r>
      <w:proofErr w:type="spellEnd"/>
      <w:r w:rsidRPr="00EA004A">
        <w:rPr>
          <w:sz w:val="20"/>
          <w:szCs w:val="20"/>
        </w:rPr>
        <w:t xml:space="preserve">, E., S. W. </w:t>
      </w:r>
      <w:proofErr w:type="spellStart"/>
      <w:r w:rsidRPr="00EA004A">
        <w:rPr>
          <w:sz w:val="20"/>
          <w:szCs w:val="20"/>
        </w:rPr>
        <w:t>Pacala</w:t>
      </w:r>
      <w:proofErr w:type="spellEnd"/>
      <w:r w:rsidRPr="00EA004A">
        <w:rPr>
          <w:sz w:val="20"/>
          <w:szCs w:val="20"/>
        </w:rPr>
        <w:t xml:space="preserve">, S. </w:t>
      </w:r>
      <w:proofErr w:type="spellStart"/>
      <w:r w:rsidRPr="00EA004A">
        <w:rPr>
          <w:sz w:val="20"/>
          <w:szCs w:val="20"/>
        </w:rPr>
        <w:t>Malyshev</w:t>
      </w:r>
      <w:proofErr w:type="spellEnd"/>
      <w:r w:rsidRPr="00EA004A">
        <w:rPr>
          <w:sz w:val="20"/>
          <w:szCs w:val="20"/>
        </w:rPr>
        <w:t xml:space="preserve">, G. C. HURTT, P. C. D. Milly, J. P. Caspersen, L. T. </w:t>
      </w:r>
      <w:proofErr w:type="spellStart"/>
      <w:r w:rsidRPr="00EA004A">
        <w:rPr>
          <w:sz w:val="20"/>
          <w:szCs w:val="20"/>
        </w:rPr>
        <w:t>Sentman</w:t>
      </w:r>
      <w:proofErr w:type="spellEnd"/>
      <w:r w:rsidRPr="00EA004A">
        <w:rPr>
          <w:sz w:val="20"/>
          <w:szCs w:val="20"/>
        </w:rPr>
        <w:t xml:space="preserve">, J. P. Fisk, C. Wirth, and C. </w:t>
      </w:r>
      <w:proofErr w:type="spellStart"/>
      <w:r w:rsidRPr="00EA004A">
        <w:rPr>
          <w:sz w:val="20"/>
          <w:szCs w:val="20"/>
        </w:rPr>
        <w:t>Crevoisier</w:t>
      </w:r>
      <w:proofErr w:type="spellEnd"/>
      <w:r w:rsidRPr="00EA004A">
        <w:rPr>
          <w:sz w:val="20"/>
          <w:szCs w:val="20"/>
        </w:rPr>
        <w:t xml:space="preserve"> (2009), Carbon cycling under 300 years of land use change: Importance of the secondary vegetation sink, Global </w:t>
      </w:r>
      <w:proofErr w:type="spellStart"/>
      <w:r w:rsidRPr="00EA004A">
        <w:rPr>
          <w:sz w:val="20"/>
          <w:szCs w:val="20"/>
        </w:rPr>
        <w:t>Biogeochem</w:t>
      </w:r>
      <w:proofErr w:type="spellEnd"/>
      <w:r w:rsidRPr="00EA004A">
        <w:rPr>
          <w:sz w:val="20"/>
          <w:szCs w:val="20"/>
        </w:rPr>
        <w:t>. Cycles, 23(2), n/a–n/a, doi:10.1029/2007GB003176. (PDF)</w:t>
      </w:r>
    </w:p>
    <w:p w14:paraId="1A9CA52C" w14:textId="5EDCCD2E" w:rsidR="00A41D99" w:rsidRPr="00EA004A" w:rsidRDefault="00A41D99" w:rsidP="00EA004A">
      <w:pPr>
        <w:pStyle w:val="ListParagraph"/>
        <w:spacing w:after="0"/>
        <w:ind w:hanging="630"/>
        <w:rPr>
          <w:sz w:val="20"/>
          <w:szCs w:val="20"/>
        </w:rPr>
      </w:pPr>
      <w:r w:rsidRPr="00EA004A">
        <w:rPr>
          <w:sz w:val="20"/>
          <w:szCs w:val="20"/>
        </w:rPr>
        <w:t xml:space="preserve">Pan, Y., R. A. </w:t>
      </w:r>
      <w:proofErr w:type="spellStart"/>
      <w:r w:rsidRPr="00EA004A">
        <w:rPr>
          <w:sz w:val="20"/>
          <w:szCs w:val="20"/>
        </w:rPr>
        <w:t>Birdsey</w:t>
      </w:r>
      <w:proofErr w:type="spellEnd"/>
      <w:r w:rsidRPr="00EA004A">
        <w:rPr>
          <w:sz w:val="20"/>
          <w:szCs w:val="20"/>
        </w:rPr>
        <w:t xml:space="preserve">, J. Fang, R. A. Houghton, P. E. </w:t>
      </w:r>
      <w:proofErr w:type="spellStart"/>
      <w:r w:rsidRPr="00EA004A">
        <w:rPr>
          <w:sz w:val="20"/>
          <w:szCs w:val="20"/>
        </w:rPr>
        <w:t>Kauppi</w:t>
      </w:r>
      <w:proofErr w:type="spellEnd"/>
      <w:r w:rsidRPr="00EA004A">
        <w:rPr>
          <w:sz w:val="20"/>
          <w:szCs w:val="20"/>
        </w:rPr>
        <w:t xml:space="preserve">, W. A. </w:t>
      </w:r>
      <w:proofErr w:type="spellStart"/>
      <w:r w:rsidRPr="00EA004A">
        <w:rPr>
          <w:sz w:val="20"/>
          <w:szCs w:val="20"/>
        </w:rPr>
        <w:t>Kurz</w:t>
      </w:r>
      <w:proofErr w:type="spellEnd"/>
      <w:r w:rsidRPr="00EA004A">
        <w:rPr>
          <w:sz w:val="20"/>
          <w:szCs w:val="20"/>
        </w:rPr>
        <w:t xml:space="preserve">, O. L. Phillips, A. </w:t>
      </w:r>
      <w:proofErr w:type="spellStart"/>
      <w:r w:rsidRPr="00EA004A">
        <w:rPr>
          <w:sz w:val="20"/>
          <w:szCs w:val="20"/>
        </w:rPr>
        <w:t>Shvidenko</w:t>
      </w:r>
      <w:proofErr w:type="spellEnd"/>
      <w:r w:rsidRPr="00EA004A">
        <w:rPr>
          <w:sz w:val="20"/>
          <w:szCs w:val="20"/>
        </w:rPr>
        <w:t xml:space="preserve">, S. L. Lewis, and J. G. </w:t>
      </w:r>
      <w:proofErr w:type="spellStart"/>
      <w:r w:rsidRPr="00EA004A">
        <w:rPr>
          <w:sz w:val="20"/>
          <w:szCs w:val="20"/>
        </w:rPr>
        <w:t>Canadell</w:t>
      </w:r>
      <w:proofErr w:type="spellEnd"/>
      <w:r w:rsidRPr="00EA004A">
        <w:rPr>
          <w:sz w:val="20"/>
          <w:szCs w:val="20"/>
        </w:rPr>
        <w:t xml:space="preserve"> (2011b), A large and persistent carbon sink in the world’s forests, SCIENCE, 333(6045), 988–993. (PDF)</w:t>
      </w:r>
    </w:p>
    <w:p w14:paraId="78C5B659" w14:textId="5118F3C8" w:rsidR="00A41D99" w:rsidRPr="00EA004A" w:rsidRDefault="00A41D99" w:rsidP="00EA004A">
      <w:pPr>
        <w:pStyle w:val="ListParagraph"/>
        <w:spacing w:after="0"/>
        <w:ind w:hanging="630"/>
        <w:rPr>
          <w:sz w:val="20"/>
          <w:szCs w:val="20"/>
        </w:rPr>
      </w:pPr>
      <w:r w:rsidRPr="00EA004A">
        <w:rPr>
          <w:sz w:val="20"/>
          <w:szCs w:val="20"/>
        </w:rPr>
        <w:t xml:space="preserve">Running, S. W., R. R. </w:t>
      </w:r>
      <w:proofErr w:type="spellStart"/>
      <w:r w:rsidRPr="00EA004A">
        <w:rPr>
          <w:sz w:val="20"/>
          <w:szCs w:val="20"/>
        </w:rPr>
        <w:t>Nemani</w:t>
      </w:r>
      <w:proofErr w:type="spellEnd"/>
      <w:r w:rsidRPr="00EA004A">
        <w:rPr>
          <w:sz w:val="20"/>
          <w:szCs w:val="20"/>
        </w:rPr>
        <w:t xml:space="preserve">, F. A. </w:t>
      </w:r>
      <w:proofErr w:type="spellStart"/>
      <w:r w:rsidRPr="00EA004A">
        <w:rPr>
          <w:sz w:val="20"/>
          <w:szCs w:val="20"/>
        </w:rPr>
        <w:t>Heinsch</w:t>
      </w:r>
      <w:proofErr w:type="spellEnd"/>
      <w:r w:rsidRPr="00EA004A">
        <w:rPr>
          <w:sz w:val="20"/>
          <w:szCs w:val="20"/>
        </w:rPr>
        <w:t xml:space="preserve">, M. Zhao, M. Reeves, and H. Hashimoto (2004), A continuous satellite-derived measure of global terrestrial primary production, </w:t>
      </w:r>
      <w:proofErr w:type="spellStart"/>
      <w:r w:rsidRPr="00EA004A">
        <w:rPr>
          <w:sz w:val="20"/>
          <w:szCs w:val="20"/>
        </w:rPr>
        <w:t>BioScience</w:t>
      </w:r>
      <w:proofErr w:type="spellEnd"/>
      <w:r w:rsidRPr="00EA004A">
        <w:rPr>
          <w:sz w:val="20"/>
          <w:szCs w:val="20"/>
        </w:rPr>
        <w:t>, 54(6), 547–560. (PDF)</w:t>
      </w:r>
    </w:p>
    <w:p w14:paraId="70F0DEDC" w14:textId="4D1DE60E" w:rsidR="00A41D99" w:rsidRPr="00EA004A" w:rsidRDefault="00A41D99" w:rsidP="00EA004A">
      <w:pPr>
        <w:pStyle w:val="ListParagraph"/>
        <w:spacing w:after="0"/>
        <w:ind w:hanging="630"/>
        <w:rPr>
          <w:sz w:val="20"/>
          <w:szCs w:val="20"/>
        </w:rPr>
      </w:pPr>
      <w:r w:rsidRPr="00EA004A">
        <w:rPr>
          <w:sz w:val="20"/>
          <w:szCs w:val="20"/>
        </w:rPr>
        <w:t xml:space="preserve">RAUPACH, M. R., G. </w:t>
      </w:r>
      <w:proofErr w:type="spellStart"/>
      <w:r w:rsidRPr="00EA004A">
        <w:rPr>
          <w:sz w:val="20"/>
          <w:szCs w:val="20"/>
        </w:rPr>
        <w:t>Marland</w:t>
      </w:r>
      <w:proofErr w:type="spellEnd"/>
      <w:r w:rsidRPr="00EA004A">
        <w:rPr>
          <w:sz w:val="20"/>
          <w:szCs w:val="20"/>
        </w:rPr>
        <w:t xml:space="preserve">, P. </w:t>
      </w:r>
      <w:proofErr w:type="spellStart"/>
      <w:r w:rsidRPr="00EA004A">
        <w:rPr>
          <w:sz w:val="20"/>
          <w:szCs w:val="20"/>
        </w:rPr>
        <w:t>Ciais</w:t>
      </w:r>
      <w:proofErr w:type="spellEnd"/>
      <w:r w:rsidRPr="00EA004A">
        <w:rPr>
          <w:sz w:val="20"/>
          <w:szCs w:val="20"/>
        </w:rPr>
        <w:t xml:space="preserve">, C. </w:t>
      </w:r>
      <w:proofErr w:type="spellStart"/>
      <w:r w:rsidRPr="00EA004A">
        <w:rPr>
          <w:sz w:val="20"/>
          <w:szCs w:val="20"/>
        </w:rPr>
        <w:t>Quere</w:t>
      </w:r>
      <w:proofErr w:type="spellEnd"/>
      <w:r w:rsidRPr="00EA004A">
        <w:rPr>
          <w:sz w:val="20"/>
          <w:szCs w:val="20"/>
        </w:rPr>
        <w:t xml:space="preserve">, J. G. </w:t>
      </w:r>
      <w:proofErr w:type="spellStart"/>
      <w:r w:rsidRPr="00EA004A">
        <w:rPr>
          <w:sz w:val="20"/>
          <w:szCs w:val="20"/>
        </w:rPr>
        <w:t>Canadell</w:t>
      </w:r>
      <w:proofErr w:type="spellEnd"/>
      <w:r w:rsidRPr="00EA004A">
        <w:rPr>
          <w:sz w:val="20"/>
          <w:szCs w:val="20"/>
        </w:rPr>
        <w:t xml:space="preserve">, G. </w:t>
      </w:r>
      <w:proofErr w:type="spellStart"/>
      <w:r w:rsidRPr="00EA004A">
        <w:rPr>
          <w:sz w:val="20"/>
          <w:szCs w:val="20"/>
        </w:rPr>
        <w:t>Klepper</w:t>
      </w:r>
      <w:proofErr w:type="spellEnd"/>
      <w:r w:rsidRPr="00EA004A">
        <w:rPr>
          <w:sz w:val="20"/>
          <w:szCs w:val="20"/>
        </w:rPr>
        <w:t>, and C. B. Field (2007), Global and regional drivers of accelerating CO2 emissions, Proceedings of the National Academy of Sciences, 104(24), 10288. (PDF)</w:t>
      </w:r>
    </w:p>
    <w:p w14:paraId="3314103B" w14:textId="160B81CF" w:rsidR="00A41D99" w:rsidRPr="00EA004A" w:rsidRDefault="00A41D99" w:rsidP="00A41D99">
      <w:pPr>
        <w:pStyle w:val="ListParagraph"/>
        <w:spacing w:after="0"/>
        <w:ind w:hanging="630"/>
        <w:rPr>
          <w:sz w:val="20"/>
          <w:szCs w:val="20"/>
        </w:rPr>
      </w:pPr>
      <w:r w:rsidRPr="00EA004A">
        <w:rPr>
          <w:sz w:val="20"/>
          <w:szCs w:val="20"/>
        </w:rPr>
        <w:t>US Department of Energy (2013). Energy Outlook to 2040. Energy Information Administration. (PDF)</w:t>
      </w:r>
    </w:p>
    <w:p w14:paraId="23BF67CD" w14:textId="77777777" w:rsidR="00A41D99" w:rsidRPr="00EA004A" w:rsidRDefault="00A41D99" w:rsidP="00A41D99">
      <w:pPr>
        <w:pStyle w:val="ListParagraph"/>
        <w:spacing w:after="0"/>
        <w:ind w:hanging="630"/>
        <w:rPr>
          <w:sz w:val="20"/>
          <w:szCs w:val="20"/>
        </w:rPr>
      </w:pPr>
    </w:p>
    <w:p w14:paraId="00FDD814" w14:textId="77777777" w:rsidR="00A41D99" w:rsidRPr="00EA004A" w:rsidRDefault="00A41D99" w:rsidP="00A41D99">
      <w:pPr>
        <w:pStyle w:val="ListParagraph"/>
        <w:spacing w:after="0"/>
        <w:ind w:hanging="630"/>
        <w:rPr>
          <w:sz w:val="20"/>
          <w:szCs w:val="20"/>
        </w:rPr>
      </w:pPr>
      <w:r w:rsidRPr="00EA004A">
        <w:rPr>
          <w:sz w:val="20"/>
          <w:szCs w:val="20"/>
        </w:rPr>
        <w:t>OCEAN</w:t>
      </w:r>
    </w:p>
    <w:p w14:paraId="25571803" w14:textId="77777777" w:rsidR="00A41D99" w:rsidRPr="00EA004A" w:rsidRDefault="00A41D99" w:rsidP="00A41D99">
      <w:pPr>
        <w:pStyle w:val="ListParagraph"/>
        <w:spacing w:after="0"/>
        <w:ind w:hanging="630"/>
        <w:rPr>
          <w:sz w:val="20"/>
          <w:szCs w:val="20"/>
        </w:rPr>
      </w:pPr>
    </w:p>
    <w:p w14:paraId="6AD204E3" w14:textId="7B31CC36" w:rsidR="00A41D99" w:rsidRPr="00EA004A" w:rsidRDefault="00A41D99" w:rsidP="00EA004A">
      <w:pPr>
        <w:pStyle w:val="ListParagraph"/>
        <w:spacing w:after="0"/>
        <w:ind w:hanging="630"/>
        <w:rPr>
          <w:sz w:val="20"/>
          <w:szCs w:val="20"/>
        </w:rPr>
      </w:pPr>
      <w:r w:rsidRPr="00EA004A">
        <w:rPr>
          <w:sz w:val="20"/>
          <w:szCs w:val="20"/>
        </w:rPr>
        <w:t>Williams, R. and M. Follows (2006). Ocean Dynamics and the Carbon Cycle, Chapter 6: Carbonate Chemistry Basics.  Oxford University Press. (PDF)</w:t>
      </w:r>
    </w:p>
    <w:p w14:paraId="5B96D1D2" w14:textId="1E8C285D" w:rsidR="00A41D99" w:rsidRPr="00EA004A" w:rsidRDefault="00A41D99" w:rsidP="00EA004A">
      <w:pPr>
        <w:pStyle w:val="ListParagraph"/>
        <w:spacing w:after="0"/>
        <w:ind w:hanging="630"/>
        <w:rPr>
          <w:sz w:val="20"/>
          <w:szCs w:val="20"/>
        </w:rPr>
      </w:pPr>
      <w:r w:rsidRPr="00EA004A">
        <w:rPr>
          <w:sz w:val="20"/>
          <w:szCs w:val="20"/>
        </w:rPr>
        <w:t xml:space="preserve">Feely, R. A., S. C. </w:t>
      </w:r>
      <w:proofErr w:type="spellStart"/>
      <w:r w:rsidRPr="00EA004A">
        <w:rPr>
          <w:sz w:val="20"/>
          <w:szCs w:val="20"/>
        </w:rPr>
        <w:t>Doney</w:t>
      </w:r>
      <w:proofErr w:type="spellEnd"/>
      <w:r w:rsidRPr="00EA004A">
        <w:rPr>
          <w:sz w:val="20"/>
          <w:szCs w:val="20"/>
        </w:rPr>
        <w:t>, and S. R. Cooley (2009), Ocean acidification: present conditions and future changes in a high-CO2 world, Oceanography, 22, 36–47. (PDF)</w:t>
      </w:r>
    </w:p>
    <w:p w14:paraId="3F174646" w14:textId="236C0AE5" w:rsidR="00A41D99" w:rsidRPr="00EA004A" w:rsidRDefault="00A41D99" w:rsidP="00A41D99">
      <w:pPr>
        <w:pStyle w:val="ListParagraph"/>
        <w:spacing w:after="0"/>
        <w:ind w:hanging="630"/>
        <w:rPr>
          <w:sz w:val="20"/>
          <w:szCs w:val="20"/>
        </w:rPr>
      </w:pPr>
      <w:proofErr w:type="spellStart"/>
      <w:r w:rsidRPr="00EA004A">
        <w:rPr>
          <w:sz w:val="20"/>
          <w:szCs w:val="20"/>
        </w:rPr>
        <w:t>Doney</w:t>
      </w:r>
      <w:proofErr w:type="spellEnd"/>
      <w:r w:rsidRPr="00EA004A">
        <w:rPr>
          <w:sz w:val="20"/>
          <w:szCs w:val="20"/>
        </w:rPr>
        <w:t xml:space="preserve">, S. C., V. J. </w:t>
      </w:r>
      <w:proofErr w:type="spellStart"/>
      <w:r w:rsidRPr="00EA004A">
        <w:rPr>
          <w:sz w:val="20"/>
          <w:szCs w:val="20"/>
        </w:rPr>
        <w:t>Fabry</w:t>
      </w:r>
      <w:proofErr w:type="spellEnd"/>
      <w:r w:rsidRPr="00EA004A">
        <w:rPr>
          <w:sz w:val="20"/>
          <w:szCs w:val="20"/>
        </w:rPr>
        <w:t xml:space="preserve">, R. A. Feely, and J. A. </w:t>
      </w:r>
      <w:proofErr w:type="spellStart"/>
      <w:r w:rsidRPr="00EA004A">
        <w:rPr>
          <w:sz w:val="20"/>
          <w:szCs w:val="20"/>
        </w:rPr>
        <w:t>Kleypas</w:t>
      </w:r>
      <w:proofErr w:type="spellEnd"/>
      <w:r w:rsidRPr="00EA004A">
        <w:rPr>
          <w:sz w:val="20"/>
          <w:szCs w:val="20"/>
        </w:rPr>
        <w:t xml:space="preserve"> (2009), Ocean Acidification: The Other CO 2Problem, </w:t>
      </w:r>
      <w:proofErr w:type="spellStart"/>
      <w:r w:rsidRPr="00EA004A">
        <w:rPr>
          <w:sz w:val="20"/>
          <w:szCs w:val="20"/>
        </w:rPr>
        <w:t>Annu</w:t>
      </w:r>
      <w:proofErr w:type="spellEnd"/>
      <w:r w:rsidRPr="00EA004A">
        <w:rPr>
          <w:sz w:val="20"/>
          <w:szCs w:val="20"/>
        </w:rPr>
        <w:t xml:space="preserve">. Rev. Marine. Sci., 1(1), 169–192, </w:t>
      </w:r>
      <w:proofErr w:type="gramStart"/>
      <w:r w:rsidRPr="00EA004A">
        <w:rPr>
          <w:sz w:val="20"/>
          <w:szCs w:val="20"/>
        </w:rPr>
        <w:t>doi:10.1146/annurev.marine</w:t>
      </w:r>
      <w:proofErr w:type="gramEnd"/>
      <w:r w:rsidRPr="00EA004A">
        <w:rPr>
          <w:sz w:val="20"/>
          <w:szCs w:val="20"/>
        </w:rPr>
        <w:t>.010908.163834. (PDF)</w:t>
      </w:r>
    </w:p>
    <w:p w14:paraId="59842FDA" w14:textId="6AC01885" w:rsidR="00A41D99" w:rsidRPr="00EA004A" w:rsidRDefault="00A41D99" w:rsidP="00A41D99">
      <w:pPr>
        <w:pStyle w:val="ListParagraph"/>
        <w:spacing w:after="0"/>
        <w:ind w:hanging="630"/>
        <w:rPr>
          <w:sz w:val="20"/>
          <w:szCs w:val="20"/>
        </w:rPr>
      </w:pPr>
      <w:r w:rsidRPr="00EA004A">
        <w:rPr>
          <w:sz w:val="20"/>
          <w:szCs w:val="20"/>
        </w:rPr>
        <w:t>Williams, R. and M. Follows (2006). Ocean Dynamics and the Carbon Cycle, SELECTIONS including nutrient cycling and circulation. Oxford University Press. (PDF)</w:t>
      </w:r>
    </w:p>
    <w:p w14:paraId="2EE24B26" w14:textId="5D4BB683" w:rsidR="00A41D99" w:rsidRPr="00EA004A" w:rsidRDefault="00A41D99" w:rsidP="00A41D99">
      <w:pPr>
        <w:pStyle w:val="ListParagraph"/>
        <w:spacing w:after="0"/>
        <w:ind w:hanging="630"/>
        <w:rPr>
          <w:sz w:val="20"/>
          <w:szCs w:val="20"/>
        </w:rPr>
      </w:pPr>
      <w:r w:rsidRPr="00EA004A">
        <w:rPr>
          <w:sz w:val="20"/>
          <w:szCs w:val="20"/>
        </w:rPr>
        <w:t xml:space="preserve">Sabine, C. L., R. A. Feely, N. Gruber, R. M. Key, K. Lee, J. L. </w:t>
      </w:r>
      <w:proofErr w:type="spellStart"/>
      <w:r w:rsidRPr="00EA004A">
        <w:rPr>
          <w:sz w:val="20"/>
          <w:szCs w:val="20"/>
        </w:rPr>
        <w:t>Bullister</w:t>
      </w:r>
      <w:proofErr w:type="spellEnd"/>
      <w:r w:rsidRPr="00EA004A">
        <w:rPr>
          <w:sz w:val="20"/>
          <w:szCs w:val="20"/>
        </w:rPr>
        <w:t>, R. Wanninkhof, C. Wong, D. W. R. Wallace, and B. Tilbrook (2004), The Oceanic Sink for Anthropogenic CO2, Science, 305(5682), 367–371, doi:10.1126/science.1097403. (PDF)</w:t>
      </w:r>
    </w:p>
    <w:p w14:paraId="0317E117" w14:textId="11467205" w:rsidR="00A41D99" w:rsidRPr="00EA004A" w:rsidRDefault="00A41D99" w:rsidP="00A41D99">
      <w:pPr>
        <w:pStyle w:val="ListParagraph"/>
        <w:spacing w:after="0"/>
        <w:ind w:hanging="630"/>
        <w:rPr>
          <w:sz w:val="20"/>
          <w:szCs w:val="20"/>
        </w:rPr>
      </w:pPr>
      <w:r w:rsidRPr="00EA004A">
        <w:rPr>
          <w:sz w:val="20"/>
          <w:szCs w:val="20"/>
        </w:rPr>
        <w:t>Sarmiento, J. L., and N. Gruber (2006). Ocean Biogeochemical Dynamics. Chapter 8: The Carbon Cycle. Princeton University Press. (PDF)</w:t>
      </w:r>
    </w:p>
    <w:p w14:paraId="41E96820" w14:textId="26F81412" w:rsidR="00A41D99" w:rsidRPr="00EA004A" w:rsidRDefault="00A41D99" w:rsidP="00A41D99">
      <w:pPr>
        <w:pStyle w:val="ListParagraph"/>
        <w:spacing w:after="0"/>
        <w:ind w:hanging="630"/>
        <w:rPr>
          <w:sz w:val="20"/>
          <w:szCs w:val="20"/>
        </w:rPr>
      </w:pPr>
      <w:proofErr w:type="spellStart"/>
      <w:r w:rsidRPr="00EA004A">
        <w:rPr>
          <w:sz w:val="20"/>
          <w:szCs w:val="20"/>
        </w:rPr>
        <w:t>LeQuere</w:t>
      </w:r>
      <w:proofErr w:type="spellEnd"/>
      <w:r w:rsidRPr="00EA004A">
        <w:rPr>
          <w:sz w:val="20"/>
          <w:szCs w:val="20"/>
        </w:rPr>
        <w:t>, C. et al. (2007), Saturation of the Southern Ocean CO2 Sink Due to Recent Climate Change, Science, 316(5832), 1735–1738, doi:10.1126/science.1136188. (PDF)</w:t>
      </w:r>
    </w:p>
    <w:p w14:paraId="37BA2F4B" w14:textId="7CBA6073" w:rsidR="00A41D99" w:rsidRPr="00EA004A" w:rsidRDefault="00A41D99" w:rsidP="00A41D99">
      <w:pPr>
        <w:pStyle w:val="ListParagraph"/>
        <w:spacing w:after="0"/>
        <w:ind w:hanging="630"/>
        <w:rPr>
          <w:sz w:val="20"/>
          <w:szCs w:val="20"/>
        </w:rPr>
      </w:pPr>
      <w:proofErr w:type="spellStart"/>
      <w:r w:rsidRPr="00EA004A">
        <w:rPr>
          <w:sz w:val="20"/>
          <w:szCs w:val="20"/>
        </w:rPr>
        <w:t>Lovenduski</w:t>
      </w:r>
      <w:proofErr w:type="spellEnd"/>
      <w:r w:rsidRPr="00EA004A">
        <w:rPr>
          <w:sz w:val="20"/>
          <w:szCs w:val="20"/>
        </w:rPr>
        <w:t xml:space="preserve">, N. S., N. Gruber, and S. C. </w:t>
      </w:r>
      <w:proofErr w:type="spellStart"/>
      <w:r w:rsidRPr="00EA004A">
        <w:rPr>
          <w:sz w:val="20"/>
          <w:szCs w:val="20"/>
        </w:rPr>
        <w:t>Doney</w:t>
      </w:r>
      <w:proofErr w:type="spellEnd"/>
      <w:r w:rsidRPr="00EA004A">
        <w:rPr>
          <w:sz w:val="20"/>
          <w:szCs w:val="20"/>
        </w:rPr>
        <w:t xml:space="preserve"> (2008), Toward a mechanistic understanding of the decadal trends in the Southern Ocean carbon sink, Global </w:t>
      </w:r>
      <w:proofErr w:type="spellStart"/>
      <w:r w:rsidRPr="00EA004A">
        <w:rPr>
          <w:sz w:val="20"/>
          <w:szCs w:val="20"/>
        </w:rPr>
        <w:t>Biogeochem</w:t>
      </w:r>
      <w:proofErr w:type="spellEnd"/>
      <w:r w:rsidRPr="00EA004A">
        <w:rPr>
          <w:sz w:val="20"/>
          <w:szCs w:val="20"/>
        </w:rPr>
        <w:t>. Cycles, 22(3), doi:10.1029/2007GB003139. (PDF)</w:t>
      </w:r>
    </w:p>
    <w:p w14:paraId="4BCC0ECB" w14:textId="528CD30D" w:rsidR="00A41D99" w:rsidRPr="00EA004A" w:rsidRDefault="00A41D99" w:rsidP="00EA004A">
      <w:pPr>
        <w:pStyle w:val="ListParagraph"/>
        <w:spacing w:after="0"/>
        <w:ind w:hanging="630"/>
        <w:rPr>
          <w:sz w:val="20"/>
          <w:szCs w:val="20"/>
        </w:rPr>
      </w:pPr>
      <w:r w:rsidRPr="00EA004A">
        <w:rPr>
          <w:sz w:val="20"/>
          <w:szCs w:val="20"/>
        </w:rPr>
        <w:t xml:space="preserve">Archer, D., and V. </w:t>
      </w:r>
      <w:proofErr w:type="spellStart"/>
      <w:r w:rsidRPr="00EA004A">
        <w:rPr>
          <w:sz w:val="20"/>
          <w:szCs w:val="20"/>
        </w:rPr>
        <w:t>Brovkin</w:t>
      </w:r>
      <w:proofErr w:type="spellEnd"/>
      <w:r w:rsidRPr="00EA004A">
        <w:rPr>
          <w:sz w:val="20"/>
          <w:szCs w:val="20"/>
        </w:rPr>
        <w:t xml:space="preserve"> (2008), The millennial atmospheric lifetime of anthropogenic CO2, Climatic Change, 90(3), 283–297, doi:10.1007/s10584-008-9413-1. (PDF)</w:t>
      </w:r>
    </w:p>
    <w:p w14:paraId="6E607103" w14:textId="77777777" w:rsidR="00A41D99" w:rsidRPr="00EA004A" w:rsidRDefault="00A41D99" w:rsidP="00A41D99">
      <w:pPr>
        <w:pStyle w:val="ListParagraph"/>
        <w:spacing w:after="0"/>
        <w:ind w:hanging="630"/>
        <w:rPr>
          <w:sz w:val="20"/>
          <w:szCs w:val="20"/>
        </w:rPr>
      </w:pPr>
      <w:r w:rsidRPr="00EA004A">
        <w:rPr>
          <w:sz w:val="20"/>
          <w:szCs w:val="20"/>
        </w:rPr>
        <w:t xml:space="preserve"> </w:t>
      </w:r>
    </w:p>
    <w:p w14:paraId="04DC762E" w14:textId="77777777" w:rsidR="00A41D99" w:rsidRPr="00EA004A" w:rsidRDefault="00A41D99" w:rsidP="00A41D99">
      <w:pPr>
        <w:pStyle w:val="ListParagraph"/>
        <w:spacing w:after="0"/>
        <w:ind w:hanging="630"/>
        <w:rPr>
          <w:sz w:val="20"/>
          <w:szCs w:val="20"/>
        </w:rPr>
      </w:pPr>
    </w:p>
    <w:p w14:paraId="18AE8061" w14:textId="77777777" w:rsidR="00A41D99" w:rsidRPr="00EA004A" w:rsidRDefault="00A41D99" w:rsidP="00A41D99">
      <w:pPr>
        <w:pStyle w:val="ListParagraph"/>
        <w:spacing w:after="0"/>
        <w:ind w:hanging="630"/>
        <w:rPr>
          <w:sz w:val="20"/>
          <w:szCs w:val="20"/>
        </w:rPr>
      </w:pPr>
      <w:r w:rsidRPr="00EA004A">
        <w:rPr>
          <w:sz w:val="20"/>
          <w:szCs w:val="20"/>
        </w:rPr>
        <w:t>ATMOSPHERE</w:t>
      </w:r>
    </w:p>
    <w:p w14:paraId="797FCF85" w14:textId="77777777" w:rsidR="00A41D99" w:rsidRPr="00EA004A" w:rsidRDefault="00A41D99" w:rsidP="00A41D99">
      <w:pPr>
        <w:pStyle w:val="ListParagraph"/>
        <w:spacing w:after="0"/>
        <w:ind w:hanging="630"/>
        <w:rPr>
          <w:sz w:val="20"/>
          <w:szCs w:val="20"/>
        </w:rPr>
      </w:pPr>
    </w:p>
    <w:p w14:paraId="0805A631" w14:textId="45C3896C" w:rsidR="00A41D99" w:rsidRPr="00EA004A" w:rsidRDefault="00A41D99" w:rsidP="00A41D99">
      <w:pPr>
        <w:pStyle w:val="ListParagraph"/>
        <w:spacing w:after="0"/>
        <w:ind w:hanging="630"/>
        <w:rPr>
          <w:sz w:val="20"/>
          <w:szCs w:val="20"/>
        </w:rPr>
      </w:pPr>
      <w:r w:rsidRPr="00EA004A">
        <w:rPr>
          <w:sz w:val="20"/>
          <w:szCs w:val="20"/>
        </w:rPr>
        <w:t>Ballantyne, A. P., C. B. Alden, J. B. Miller, P. P. Tans, and J. W. C. White (2012), Increase in observed net carbon dioxide uptake by land and oceans during the past 50 years, Nature, 488(7409), 70–72, doi:10.1038/nature11299. (PDF)</w:t>
      </w:r>
    </w:p>
    <w:p w14:paraId="3EE4949C" w14:textId="201DB8AE" w:rsidR="00A41D99" w:rsidRPr="00EA004A" w:rsidRDefault="00A41D99" w:rsidP="00A41D99">
      <w:pPr>
        <w:pStyle w:val="ListParagraph"/>
        <w:spacing w:after="0"/>
        <w:ind w:hanging="630"/>
        <w:rPr>
          <w:sz w:val="20"/>
          <w:szCs w:val="20"/>
        </w:rPr>
      </w:pPr>
      <w:r w:rsidRPr="00EA004A">
        <w:rPr>
          <w:sz w:val="20"/>
          <w:szCs w:val="20"/>
        </w:rPr>
        <w:t xml:space="preserve">Peters, W., A. R. Jacobson, C. Sweeney, A. E. Andrews, T. J. Conway, K. A. </w:t>
      </w:r>
      <w:proofErr w:type="spellStart"/>
      <w:r w:rsidRPr="00EA004A">
        <w:rPr>
          <w:sz w:val="20"/>
          <w:szCs w:val="20"/>
        </w:rPr>
        <w:t>Masarie</w:t>
      </w:r>
      <w:proofErr w:type="spellEnd"/>
      <w:r w:rsidRPr="00EA004A">
        <w:rPr>
          <w:sz w:val="20"/>
          <w:szCs w:val="20"/>
        </w:rPr>
        <w:t xml:space="preserve">, J. B. Miller, L. </w:t>
      </w:r>
      <w:proofErr w:type="spellStart"/>
      <w:r w:rsidRPr="00EA004A">
        <w:rPr>
          <w:sz w:val="20"/>
          <w:szCs w:val="20"/>
        </w:rPr>
        <w:t>Bruhwiler</w:t>
      </w:r>
      <w:proofErr w:type="spellEnd"/>
      <w:r w:rsidRPr="00EA004A">
        <w:rPr>
          <w:sz w:val="20"/>
          <w:szCs w:val="20"/>
        </w:rPr>
        <w:t xml:space="preserve">, G. Petron, and A. Hirsch (2007), An atmospheric perspective on North American carbon dioxide exchange: </w:t>
      </w:r>
      <w:proofErr w:type="spellStart"/>
      <w:r w:rsidRPr="00EA004A">
        <w:rPr>
          <w:sz w:val="20"/>
          <w:szCs w:val="20"/>
        </w:rPr>
        <w:t>CarbonTracker</w:t>
      </w:r>
      <w:proofErr w:type="spellEnd"/>
      <w:r w:rsidRPr="00EA004A">
        <w:rPr>
          <w:sz w:val="20"/>
          <w:szCs w:val="20"/>
        </w:rPr>
        <w:t>, Proceedings of the National Academy of Sciences, 104(48), 18925. (PDF)</w:t>
      </w:r>
    </w:p>
    <w:p w14:paraId="65AD6441" w14:textId="4764C635" w:rsidR="00A41D99" w:rsidRPr="00EA004A" w:rsidRDefault="00A41D99" w:rsidP="00A41D99">
      <w:pPr>
        <w:pStyle w:val="ListParagraph"/>
        <w:spacing w:after="0"/>
        <w:ind w:hanging="630"/>
        <w:rPr>
          <w:sz w:val="20"/>
          <w:szCs w:val="20"/>
        </w:rPr>
      </w:pPr>
      <w:proofErr w:type="spellStart"/>
      <w:r w:rsidRPr="00EA004A">
        <w:rPr>
          <w:sz w:val="20"/>
          <w:szCs w:val="20"/>
        </w:rPr>
        <w:t>Schuh</w:t>
      </w:r>
      <w:proofErr w:type="spellEnd"/>
      <w:r w:rsidRPr="00EA004A">
        <w:rPr>
          <w:sz w:val="20"/>
          <w:szCs w:val="20"/>
        </w:rPr>
        <w:t>, A. E. et al. (2013), Evaluating atmospheric CO 2inversions at multiple scales over a highly inventoried agricultural landscape, Global Change Biology, 19(5), 1424–1439, doi:10.1111/gcb.12141. (PDF)</w:t>
      </w:r>
    </w:p>
    <w:p w14:paraId="4163EAEC" w14:textId="563479B3" w:rsidR="00A41D99" w:rsidRPr="00EA004A" w:rsidRDefault="00A41D99" w:rsidP="00A41D99">
      <w:pPr>
        <w:pStyle w:val="ListParagraph"/>
        <w:spacing w:after="0"/>
        <w:ind w:hanging="630"/>
        <w:rPr>
          <w:sz w:val="20"/>
          <w:szCs w:val="20"/>
        </w:rPr>
      </w:pPr>
      <w:proofErr w:type="spellStart"/>
      <w:r w:rsidRPr="00EA004A">
        <w:rPr>
          <w:sz w:val="20"/>
          <w:szCs w:val="20"/>
        </w:rPr>
        <w:t>Chevallier</w:t>
      </w:r>
      <w:proofErr w:type="spellEnd"/>
      <w:r w:rsidRPr="00EA004A">
        <w:rPr>
          <w:sz w:val="20"/>
          <w:szCs w:val="20"/>
        </w:rPr>
        <w:t xml:space="preserve">, F., F.-M. </w:t>
      </w:r>
      <w:proofErr w:type="spellStart"/>
      <w:r w:rsidRPr="00EA004A">
        <w:rPr>
          <w:sz w:val="20"/>
          <w:szCs w:val="20"/>
        </w:rPr>
        <w:t>Bréon</w:t>
      </w:r>
      <w:proofErr w:type="spellEnd"/>
      <w:r w:rsidRPr="00EA004A">
        <w:rPr>
          <w:sz w:val="20"/>
          <w:szCs w:val="20"/>
        </w:rPr>
        <w:t xml:space="preserve">, and P. J. Rayner (2007), Contribution of the Orbiting Carbon Observatory to the estimation of CO 2sources and sinks: Theoretical study in a </w:t>
      </w:r>
      <w:proofErr w:type="spellStart"/>
      <w:r w:rsidRPr="00EA004A">
        <w:rPr>
          <w:sz w:val="20"/>
          <w:szCs w:val="20"/>
        </w:rPr>
        <w:t>variational</w:t>
      </w:r>
      <w:proofErr w:type="spellEnd"/>
      <w:r w:rsidRPr="00EA004A">
        <w:rPr>
          <w:sz w:val="20"/>
          <w:szCs w:val="20"/>
        </w:rPr>
        <w:t xml:space="preserve"> data assimilation framework, J. </w:t>
      </w:r>
      <w:proofErr w:type="spellStart"/>
      <w:r w:rsidRPr="00EA004A">
        <w:rPr>
          <w:sz w:val="20"/>
          <w:szCs w:val="20"/>
        </w:rPr>
        <w:t>Geophys</w:t>
      </w:r>
      <w:proofErr w:type="spellEnd"/>
      <w:r w:rsidRPr="00EA004A">
        <w:rPr>
          <w:sz w:val="20"/>
          <w:szCs w:val="20"/>
        </w:rPr>
        <w:t>. Res., 112(D9), doi:10.1029/2006JD007375. (PDF)</w:t>
      </w:r>
    </w:p>
    <w:p w14:paraId="31384A49" w14:textId="77777777" w:rsidR="00A41D99" w:rsidRPr="00EA004A" w:rsidRDefault="00A41D99" w:rsidP="00A41D99">
      <w:pPr>
        <w:pStyle w:val="ListParagraph"/>
        <w:spacing w:after="0"/>
        <w:ind w:hanging="630"/>
        <w:rPr>
          <w:sz w:val="20"/>
          <w:szCs w:val="20"/>
        </w:rPr>
      </w:pPr>
      <w:r w:rsidRPr="00EA004A">
        <w:rPr>
          <w:sz w:val="20"/>
          <w:szCs w:val="20"/>
        </w:rPr>
        <w:t>Crisp, D. et al. (2012), The ACOS CO2 retrieval algorithm &amp;</w:t>
      </w:r>
      <w:proofErr w:type="spellStart"/>
      <w:r w:rsidRPr="00EA004A">
        <w:rPr>
          <w:sz w:val="20"/>
          <w:szCs w:val="20"/>
        </w:rPr>
        <w:t>ndash</w:t>
      </w:r>
      <w:proofErr w:type="spellEnd"/>
      <w:r w:rsidRPr="00EA004A">
        <w:rPr>
          <w:sz w:val="20"/>
          <w:szCs w:val="20"/>
        </w:rPr>
        <w:t>; Part II: Global XCO2 data characterization, Atmos. Meas. Tech., 5(4), 687–707, doi:10.5194/amt-5-687-2012. (PDF)</w:t>
      </w:r>
    </w:p>
    <w:p w14:paraId="607E85E8" w14:textId="76B60A1A" w:rsidR="00A41D99" w:rsidRPr="00EA004A" w:rsidRDefault="00A41D99" w:rsidP="00EA004A">
      <w:pPr>
        <w:spacing w:after="0"/>
        <w:rPr>
          <w:sz w:val="20"/>
          <w:szCs w:val="20"/>
        </w:rPr>
      </w:pPr>
    </w:p>
    <w:p w14:paraId="70E410AF" w14:textId="77777777" w:rsidR="00A41D99" w:rsidRPr="00EA004A" w:rsidRDefault="00A41D99" w:rsidP="00A41D99">
      <w:pPr>
        <w:pStyle w:val="ListParagraph"/>
        <w:spacing w:after="0"/>
        <w:ind w:hanging="630"/>
        <w:rPr>
          <w:sz w:val="20"/>
          <w:szCs w:val="20"/>
        </w:rPr>
      </w:pPr>
    </w:p>
    <w:p w14:paraId="78610FFE" w14:textId="77777777" w:rsidR="00A41D99" w:rsidRPr="00EA004A" w:rsidRDefault="00A41D99" w:rsidP="00A41D99">
      <w:pPr>
        <w:pStyle w:val="ListParagraph"/>
        <w:spacing w:after="0"/>
        <w:ind w:hanging="630"/>
        <w:rPr>
          <w:sz w:val="20"/>
          <w:szCs w:val="20"/>
        </w:rPr>
      </w:pPr>
      <w:r w:rsidRPr="00EA004A">
        <w:rPr>
          <w:sz w:val="20"/>
          <w:szCs w:val="20"/>
        </w:rPr>
        <w:t>CLIMATE</w:t>
      </w:r>
    </w:p>
    <w:p w14:paraId="3EAF7E62" w14:textId="77777777" w:rsidR="00A41D99" w:rsidRPr="00EA004A" w:rsidRDefault="00A41D99" w:rsidP="00A41D99">
      <w:pPr>
        <w:pStyle w:val="ListParagraph"/>
        <w:spacing w:after="0"/>
        <w:ind w:hanging="630"/>
        <w:rPr>
          <w:sz w:val="20"/>
          <w:szCs w:val="20"/>
        </w:rPr>
      </w:pPr>
    </w:p>
    <w:p w14:paraId="510898F8" w14:textId="109F3803" w:rsidR="00A41D99" w:rsidRPr="00EA004A" w:rsidRDefault="00A41D99" w:rsidP="00A41D99">
      <w:pPr>
        <w:pStyle w:val="ListParagraph"/>
        <w:spacing w:after="0"/>
        <w:ind w:hanging="630"/>
        <w:rPr>
          <w:sz w:val="20"/>
          <w:szCs w:val="20"/>
        </w:rPr>
      </w:pPr>
      <w:proofErr w:type="spellStart"/>
      <w:r w:rsidRPr="00EA004A">
        <w:rPr>
          <w:sz w:val="20"/>
          <w:szCs w:val="20"/>
        </w:rPr>
        <w:t>Friedlingstein</w:t>
      </w:r>
      <w:proofErr w:type="spellEnd"/>
      <w:r w:rsidRPr="00EA004A">
        <w:rPr>
          <w:sz w:val="20"/>
          <w:szCs w:val="20"/>
        </w:rPr>
        <w:t xml:space="preserve">, P., P. M. COX, R. A. Betts, L. Bopp, W. Von </w:t>
      </w:r>
      <w:proofErr w:type="spellStart"/>
      <w:r w:rsidRPr="00EA004A">
        <w:rPr>
          <w:sz w:val="20"/>
          <w:szCs w:val="20"/>
        </w:rPr>
        <w:t>Bloh</w:t>
      </w:r>
      <w:proofErr w:type="spellEnd"/>
      <w:r w:rsidRPr="00EA004A">
        <w:rPr>
          <w:sz w:val="20"/>
          <w:szCs w:val="20"/>
        </w:rPr>
        <w:t xml:space="preserve">, V. </w:t>
      </w:r>
      <w:proofErr w:type="spellStart"/>
      <w:r w:rsidRPr="00EA004A">
        <w:rPr>
          <w:sz w:val="20"/>
          <w:szCs w:val="20"/>
        </w:rPr>
        <w:t>Brovkin</w:t>
      </w:r>
      <w:proofErr w:type="spellEnd"/>
      <w:r w:rsidRPr="00EA004A">
        <w:rPr>
          <w:sz w:val="20"/>
          <w:szCs w:val="20"/>
        </w:rPr>
        <w:t xml:space="preserve">, P. </w:t>
      </w:r>
      <w:proofErr w:type="spellStart"/>
      <w:r w:rsidRPr="00EA004A">
        <w:rPr>
          <w:sz w:val="20"/>
          <w:szCs w:val="20"/>
        </w:rPr>
        <w:t>Cadule</w:t>
      </w:r>
      <w:proofErr w:type="spellEnd"/>
      <w:r w:rsidRPr="00EA004A">
        <w:rPr>
          <w:sz w:val="20"/>
          <w:szCs w:val="20"/>
        </w:rPr>
        <w:t xml:space="preserve">, S. C. </w:t>
      </w:r>
      <w:proofErr w:type="spellStart"/>
      <w:r w:rsidRPr="00EA004A">
        <w:rPr>
          <w:sz w:val="20"/>
          <w:szCs w:val="20"/>
        </w:rPr>
        <w:t>Doney</w:t>
      </w:r>
      <w:proofErr w:type="spellEnd"/>
      <w:r w:rsidRPr="00EA004A">
        <w:rPr>
          <w:sz w:val="20"/>
          <w:szCs w:val="20"/>
        </w:rPr>
        <w:t xml:space="preserve">, M. </w:t>
      </w:r>
      <w:proofErr w:type="spellStart"/>
      <w:r w:rsidRPr="00EA004A">
        <w:rPr>
          <w:sz w:val="20"/>
          <w:szCs w:val="20"/>
        </w:rPr>
        <w:t>Eby</w:t>
      </w:r>
      <w:proofErr w:type="spellEnd"/>
      <w:r w:rsidRPr="00EA004A">
        <w:rPr>
          <w:sz w:val="20"/>
          <w:szCs w:val="20"/>
        </w:rPr>
        <w:t xml:space="preserve">, and I. Y. Fung (2006), Climate-carbon cycle feedback analysis: Results from the C4MIP model </w:t>
      </w:r>
      <w:proofErr w:type="spellStart"/>
      <w:r w:rsidRPr="00EA004A">
        <w:rPr>
          <w:sz w:val="20"/>
          <w:szCs w:val="20"/>
        </w:rPr>
        <w:t>intercomparison</w:t>
      </w:r>
      <w:proofErr w:type="spellEnd"/>
      <w:r w:rsidRPr="00EA004A">
        <w:rPr>
          <w:sz w:val="20"/>
          <w:szCs w:val="20"/>
        </w:rPr>
        <w:t>, J. Climate, 19(14), 3337–3353. (PDF)</w:t>
      </w:r>
    </w:p>
    <w:p w14:paraId="485D9627" w14:textId="406D9E8A" w:rsidR="00A41D99" w:rsidRPr="00EA004A" w:rsidRDefault="00A41D99" w:rsidP="00A41D99">
      <w:pPr>
        <w:pStyle w:val="ListParagraph"/>
        <w:spacing w:after="0"/>
        <w:ind w:hanging="630"/>
        <w:rPr>
          <w:sz w:val="20"/>
          <w:szCs w:val="20"/>
        </w:rPr>
      </w:pPr>
      <w:r w:rsidRPr="00EA004A">
        <w:rPr>
          <w:sz w:val="20"/>
          <w:szCs w:val="20"/>
        </w:rPr>
        <w:t xml:space="preserve">Thornton, P. E., S. C. </w:t>
      </w:r>
      <w:proofErr w:type="spellStart"/>
      <w:r w:rsidRPr="00EA004A">
        <w:rPr>
          <w:sz w:val="20"/>
          <w:szCs w:val="20"/>
        </w:rPr>
        <w:t>Doney</w:t>
      </w:r>
      <w:proofErr w:type="spellEnd"/>
      <w:r w:rsidRPr="00EA004A">
        <w:rPr>
          <w:sz w:val="20"/>
          <w:szCs w:val="20"/>
        </w:rPr>
        <w:t xml:space="preserve">, K. Lindsay, J. K. Moore, N. M. </w:t>
      </w:r>
      <w:proofErr w:type="spellStart"/>
      <w:r w:rsidRPr="00EA004A">
        <w:rPr>
          <w:sz w:val="20"/>
          <w:szCs w:val="20"/>
        </w:rPr>
        <w:t>Mahowald</w:t>
      </w:r>
      <w:proofErr w:type="spellEnd"/>
      <w:r w:rsidRPr="00EA004A">
        <w:rPr>
          <w:sz w:val="20"/>
          <w:szCs w:val="20"/>
        </w:rPr>
        <w:t xml:space="preserve">, J. T. </w:t>
      </w:r>
      <w:proofErr w:type="spellStart"/>
      <w:r w:rsidRPr="00EA004A">
        <w:rPr>
          <w:sz w:val="20"/>
          <w:szCs w:val="20"/>
        </w:rPr>
        <w:t>Randerson</w:t>
      </w:r>
      <w:proofErr w:type="spellEnd"/>
      <w:r w:rsidRPr="00EA004A">
        <w:rPr>
          <w:sz w:val="20"/>
          <w:szCs w:val="20"/>
        </w:rPr>
        <w:t xml:space="preserve">, I. Y. Fung, J. F. </w:t>
      </w:r>
      <w:proofErr w:type="spellStart"/>
      <w:r w:rsidRPr="00EA004A">
        <w:rPr>
          <w:sz w:val="20"/>
          <w:szCs w:val="20"/>
        </w:rPr>
        <w:t>Lamarque</w:t>
      </w:r>
      <w:proofErr w:type="spellEnd"/>
      <w:r w:rsidRPr="00EA004A">
        <w:rPr>
          <w:sz w:val="20"/>
          <w:szCs w:val="20"/>
        </w:rPr>
        <w:t xml:space="preserve">, J. J. </w:t>
      </w:r>
      <w:proofErr w:type="spellStart"/>
      <w:r w:rsidRPr="00EA004A">
        <w:rPr>
          <w:sz w:val="20"/>
          <w:szCs w:val="20"/>
        </w:rPr>
        <w:t>Feddema</w:t>
      </w:r>
      <w:proofErr w:type="spellEnd"/>
      <w:r w:rsidRPr="00EA004A">
        <w:rPr>
          <w:sz w:val="20"/>
          <w:szCs w:val="20"/>
        </w:rPr>
        <w:t xml:space="preserve">, and Y.-H. Lee (2009), Carbon-nitrogen interactions regulate climate-carbon cycle feedbacks: results from an atmosphere-ocean general circulation model, </w:t>
      </w:r>
      <w:proofErr w:type="spellStart"/>
      <w:r w:rsidRPr="00EA004A">
        <w:rPr>
          <w:sz w:val="20"/>
          <w:szCs w:val="20"/>
        </w:rPr>
        <w:t>Biogeosciences</w:t>
      </w:r>
      <w:proofErr w:type="spellEnd"/>
      <w:r w:rsidRPr="00EA004A">
        <w:rPr>
          <w:sz w:val="20"/>
          <w:szCs w:val="20"/>
        </w:rPr>
        <w:t>, 6, 2099–2120. [online] Available from: http://www.biogeosciences.net/6/2099/2009/ (PDF)</w:t>
      </w:r>
    </w:p>
    <w:p w14:paraId="09A7D7F9" w14:textId="2D189593" w:rsidR="00A41D99" w:rsidRPr="00EA004A" w:rsidRDefault="00A41D99" w:rsidP="00A41D99">
      <w:pPr>
        <w:pStyle w:val="ListParagraph"/>
        <w:spacing w:after="0"/>
        <w:ind w:hanging="630"/>
        <w:rPr>
          <w:sz w:val="20"/>
          <w:szCs w:val="20"/>
        </w:rPr>
      </w:pPr>
      <w:r w:rsidRPr="00EA004A">
        <w:rPr>
          <w:sz w:val="20"/>
          <w:szCs w:val="20"/>
        </w:rPr>
        <w:t xml:space="preserve">Gregory, J. M., C. D. Jones, P. </w:t>
      </w:r>
      <w:proofErr w:type="spellStart"/>
      <w:r w:rsidRPr="00EA004A">
        <w:rPr>
          <w:sz w:val="20"/>
          <w:szCs w:val="20"/>
        </w:rPr>
        <w:t>Cadule</w:t>
      </w:r>
      <w:proofErr w:type="spellEnd"/>
      <w:r w:rsidRPr="00EA004A">
        <w:rPr>
          <w:sz w:val="20"/>
          <w:szCs w:val="20"/>
        </w:rPr>
        <w:t xml:space="preserve">, and P. </w:t>
      </w:r>
      <w:proofErr w:type="spellStart"/>
      <w:r w:rsidRPr="00EA004A">
        <w:rPr>
          <w:sz w:val="20"/>
          <w:szCs w:val="20"/>
        </w:rPr>
        <w:t>Friedlingstein</w:t>
      </w:r>
      <w:proofErr w:type="spellEnd"/>
      <w:r w:rsidRPr="00EA004A">
        <w:rPr>
          <w:sz w:val="20"/>
          <w:szCs w:val="20"/>
        </w:rPr>
        <w:t xml:space="preserve"> (2009), Quantifying Carbon Cycle Feedbacks, J. Climate, 22(19), 5232–5250, doi:10.1175/2009JCLI2949.1. (PDF)</w:t>
      </w:r>
    </w:p>
    <w:p w14:paraId="0E8C7C5A" w14:textId="07151C8A" w:rsidR="00A41D99" w:rsidRDefault="00A41D99" w:rsidP="00A41D99">
      <w:pPr>
        <w:pStyle w:val="ListParagraph"/>
        <w:spacing w:after="0"/>
        <w:ind w:hanging="630"/>
        <w:rPr>
          <w:sz w:val="20"/>
          <w:szCs w:val="20"/>
        </w:rPr>
      </w:pPr>
      <w:r w:rsidRPr="00EA004A">
        <w:rPr>
          <w:sz w:val="20"/>
          <w:szCs w:val="20"/>
        </w:rPr>
        <w:t xml:space="preserve">Arora, V. K., F. H. </w:t>
      </w:r>
      <w:proofErr w:type="spellStart"/>
      <w:r w:rsidRPr="00EA004A">
        <w:rPr>
          <w:sz w:val="20"/>
          <w:szCs w:val="20"/>
        </w:rPr>
        <w:t>Chiew</w:t>
      </w:r>
      <w:proofErr w:type="spellEnd"/>
      <w:r w:rsidRPr="00EA004A">
        <w:rPr>
          <w:sz w:val="20"/>
          <w:szCs w:val="20"/>
        </w:rPr>
        <w:t>, and R. B. Grayson (2001), Effect of sub‐grid‐scale variability of soil moisture and precipitation intensity on surface runoff and streamflow, Journal of Geophysical Research: Atmospheres (1984–2012), 106(D15), 17073–17091. (PDF)</w:t>
      </w:r>
    </w:p>
    <w:p w14:paraId="7F896CE4" w14:textId="4547CF31" w:rsidR="00EA004A" w:rsidRDefault="00EA004A">
      <w:pPr>
        <w:rPr>
          <w:sz w:val="20"/>
          <w:szCs w:val="20"/>
        </w:rPr>
      </w:pPr>
    </w:p>
    <w:p w14:paraId="27412680" w14:textId="5431BF4A" w:rsidR="00EA004A" w:rsidRPr="00EA004A" w:rsidRDefault="00EA004A" w:rsidP="00EA004A">
      <w:pPr>
        <w:spacing w:after="0"/>
      </w:pPr>
      <w:r w:rsidRPr="00EA004A">
        <w:t>ASSIGNMENTS</w:t>
      </w:r>
    </w:p>
    <w:p w14:paraId="5BE64CB7" w14:textId="77777777" w:rsidR="00EA004A" w:rsidRPr="00EA004A" w:rsidRDefault="00EA004A" w:rsidP="00EA004A">
      <w:pPr>
        <w:pStyle w:val="ListParagraph"/>
        <w:spacing w:after="0"/>
        <w:ind w:hanging="630"/>
        <w:rPr>
          <w:sz w:val="20"/>
          <w:szCs w:val="20"/>
        </w:rPr>
      </w:pPr>
    </w:p>
    <w:p w14:paraId="096EC9C1" w14:textId="5ECC881B" w:rsidR="00EA004A" w:rsidRPr="00EA004A" w:rsidRDefault="00EA004A" w:rsidP="00EA004A">
      <w:r w:rsidRPr="00EA004A">
        <w:t xml:space="preserve">There will be </w:t>
      </w:r>
      <w:r>
        <w:t>five</w:t>
      </w:r>
      <w:r w:rsidRPr="00EA004A">
        <w:t xml:space="preserve"> class projects over the course of the semester. Each assignment involves writing and using a simple computer program to do some calculations using simplified “toy” models of the carbon cycle to investigate processes in the real world.  </w:t>
      </w:r>
    </w:p>
    <w:p w14:paraId="7A3EAF00" w14:textId="77777777" w:rsidR="00EA004A" w:rsidRPr="00EA004A" w:rsidRDefault="00EA004A" w:rsidP="00EA004A">
      <w:r w:rsidRPr="00EA004A">
        <w:t xml:space="preserve">You are welcome to work on these in groups or on your own. Use any programming language or environment you like. If you are new to programming I suggest a well-supported open-source modern environment supported on all platforms, like </w:t>
      </w:r>
      <w:hyperlink r:id="rId19" w:history="1">
        <w:r w:rsidRPr="00EA004A">
          <w:rPr>
            <w:rStyle w:val="Hyperlink"/>
            <w:sz w:val="20"/>
            <w:szCs w:val="20"/>
          </w:rPr>
          <w:t>Python</w:t>
        </w:r>
      </w:hyperlink>
      <w:r w:rsidRPr="00EA004A">
        <w:t>,  </w:t>
      </w:r>
      <w:hyperlink r:id="rId20" w:history="1">
        <w:r w:rsidRPr="00EA004A">
          <w:rPr>
            <w:rStyle w:val="Hyperlink"/>
            <w:sz w:val="20"/>
            <w:szCs w:val="20"/>
          </w:rPr>
          <w:t>R</w:t>
        </w:r>
      </w:hyperlink>
      <w:r w:rsidRPr="00EA004A">
        <w:t xml:space="preserve">, or </w:t>
      </w:r>
      <w:hyperlink r:id="rId21" w:history="1">
        <w:r w:rsidRPr="00EA004A">
          <w:rPr>
            <w:rStyle w:val="Hyperlink"/>
            <w:sz w:val="20"/>
            <w:szCs w:val="20"/>
          </w:rPr>
          <w:t>Octave</w:t>
        </w:r>
      </w:hyperlink>
      <w:r w:rsidRPr="00EA004A">
        <w:t xml:space="preserve">. If you’ve never written computer programs before, I suggest a </w:t>
      </w:r>
      <w:hyperlink r:id="rId22" w:history="1">
        <w:r w:rsidRPr="00EA004A">
          <w:rPr>
            <w:rStyle w:val="Hyperlink"/>
            <w:sz w:val="20"/>
            <w:szCs w:val="20"/>
          </w:rPr>
          <w:t xml:space="preserve">wonderful book by John </w:t>
        </w:r>
        <w:proofErr w:type="spellStart"/>
        <w:r w:rsidRPr="00EA004A">
          <w:rPr>
            <w:rStyle w:val="Hyperlink"/>
            <w:sz w:val="20"/>
            <w:szCs w:val="20"/>
          </w:rPr>
          <w:t>Zelle</w:t>
        </w:r>
        <w:proofErr w:type="spellEnd"/>
      </w:hyperlink>
      <w:r w:rsidRPr="00EA004A">
        <w:t xml:space="preserve"> or the free </w:t>
      </w:r>
      <w:hyperlink r:id="rId23" w:history="1">
        <w:r w:rsidRPr="00EA004A">
          <w:rPr>
            <w:rStyle w:val="Hyperlink"/>
            <w:sz w:val="20"/>
            <w:szCs w:val="20"/>
          </w:rPr>
          <w:t>online programming course</w:t>
        </w:r>
      </w:hyperlink>
      <w:r w:rsidRPr="00EA004A">
        <w:t xml:space="preserve"> provided by the Khan Academy. I have a few copies of the </w:t>
      </w:r>
      <w:proofErr w:type="spellStart"/>
      <w:r w:rsidRPr="00EA004A">
        <w:t>Zelle</w:t>
      </w:r>
      <w:proofErr w:type="spellEnd"/>
      <w:r w:rsidRPr="00EA004A">
        <w:t xml:space="preserve"> book to lend. I am happy to provide a lot of help with the programming projects outside of class time as well, because I think this is a very important part of the course.</w:t>
      </w:r>
    </w:p>
    <w:p w14:paraId="51CC948D" w14:textId="77777777" w:rsidR="00EA004A" w:rsidRDefault="00EA004A" w:rsidP="00EA004A">
      <w:r w:rsidRPr="00EA004A">
        <w:t xml:space="preserve">All of the assignments are also linked to the </w:t>
      </w:r>
      <w:hyperlink r:id="rId24" w:history="1">
        <w:r w:rsidRPr="00EA004A">
          <w:rPr>
            <w:rStyle w:val="Hyperlink"/>
            <w:sz w:val="20"/>
            <w:szCs w:val="20"/>
          </w:rPr>
          <w:t>web-based toy models provided on the class website</w:t>
        </w:r>
      </w:hyperlink>
      <w:r w:rsidRPr="00EA004A">
        <w:t>. The website provides all the code used to drive the web-based models. You are welcome to use the code on the website as a template, copy-paste it as much as you want, and check your answers against mine if you find that helpful.</w:t>
      </w:r>
    </w:p>
    <w:p w14:paraId="678E5F2E" w14:textId="362CA211" w:rsidR="00EA004A" w:rsidRPr="00EA004A" w:rsidRDefault="004052C2" w:rsidP="004052C2">
      <w:pPr>
        <w:pStyle w:val="ListParagraph"/>
        <w:tabs>
          <w:tab w:val="left" w:pos="1040"/>
        </w:tabs>
        <w:spacing w:after="0"/>
        <w:ind w:hanging="630"/>
        <w:rPr>
          <w:sz w:val="20"/>
          <w:szCs w:val="20"/>
        </w:rPr>
      </w:pPr>
      <w:r>
        <w:rPr>
          <w:sz w:val="20"/>
          <w:szCs w:val="20"/>
        </w:rPr>
        <w:tab/>
      </w:r>
    </w:p>
    <w:p w14:paraId="2506C8BF" w14:textId="77777777" w:rsidR="00EA004A" w:rsidRPr="00EA004A" w:rsidRDefault="00EA004A" w:rsidP="00A41D99">
      <w:pPr>
        <w:pStyle w:val="ListParagraph"/>
        <w:spacing w:after="0"/>
        <w:ind w:hanging="630"/>
        <w:rPr>
          <w:sz w:val="20"/>
          <w:szCs w:val="20"/>
        </w:rPr>
      </w:pPr>
      <w:bookmarkStart w:id="0" w:name="_GoBack"/>
      <w:bookmarkEnd w:id="0"/>
    </w:p>
    <w:sectPr w:rsidR="00EA004A" w:rsidRPr="00EA004A" w:rsidSect="00EA004A">
      <w:headerReference w:type="default" r:id="rId25"/>
      <w:footerReference w:type="default" r:id="rId26"/>
      <w:pgSz w:w="12240" w:h="15840"/>
      <w:pgMar w:top="1350" w:right="1800" w:bottom="144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0C4D9" w14:textId="77777777" w:rsidR="00765353" w:rsidRDefault="00765353" w:rsidP="00640C7B">
      <w:pPr>
        <w:spacing w:after="0"/>
      </w:pPr>
      <w:r>
        <w:separator/>
      </w:r>
    </w:p>
  </w:endnote>
  <w:endnote w:type="continuationSeparator" w:id="0">
    <w:p w14:paraId="3C507791" w14:textId="77777777" w:rsidR="00765353" w:rsidRDefault="00765353" w:rsidP="00640C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30138" w14:textId="4629ADCA" w:rsidR="006F50AD" w:rsidRPr="00640C7B" w:rsidRDefault="006F50AD" w:rsidP="006F50AD">
    <w:pPr>
      <w:pStyle w:val="Footer"/>
      <w:jc w:val="center"/>
      <w:rPr>
        <w:color w:val="FF0000"/>
        <w:sz w:val="36"/>
        <w:szCs w:val="36"/>
      </w:rPr>
    </w:pPr>
    <w:r w:rsidRPr="00640C7B">
      <w:rPr>
        <w:rFonts w:asciiTheme="majorHAnsi" w:hAnsiTheme="majorHAnsi"/>
        <w:color w:val="FF0000"/>
        <w:sz w:val="36"/>
        <w:szCs w:val="36"/>
      </w:rPr>
      <w:t>http://ats760.atmos.colostate.edu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3291E" w14:textId="77777777" w:rsidR="00765353" w:rsidRDefault="00765353" w:rsidP="00640C7B">
      <w:pPr>
        <w:spacing w:after="0"/>
      </w:pPr>
      <w:r>
        <w:separator/>
      </w:r>
    </w:p>
  </w:footnote>
  <w:footnote w:type="continuationSeparator" w:id="0">
    <w:p w14:paraId="1C856F88" w14:textId="77777777" w:rsidR="00765353" w:rsidRDefault="00765353" w:rsidP="00640C7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6768F" w14:textId="7A324CB7" w:rsidR="006F50AD" w:rsidRPr="00640C7B" w:rsidRDefault="006F50AD">
    <w:pPr>
      <w:pStyle w:val="Header"/>
      <w:rPr>
        <w:rFonts w:asciiTheme="majorHAnsi" w:hAnsiTheme="majorHAnsi"/>
        <w:color w:val="0000FF"/>
        <w:sz w:val="32"/>
        <w:szCs w:val="32"/>
      </w:rPr>
    </w:pPr>
    <w:r>
      <w:rPr>
        <w:rFonts w:asciiTheme="majorHAnsi" w:hAnsiTheme="majorHAnsi"/>
        <w:color w:val="0000FF"/>
        <w:sz w:val="32"/>
        <w:szCs w:val="32"/>
      </w:rPr>
      <w:t>ATS 760: Global Carbon Cycle</w:t>
    </w:r>
    <w:r>
      <w:rPr>
        <w:rFonts w:asciiTheme="majorHAnsi" w:hAnsiTheme="majorHAnsi"/>
        <w:color w:val="0000FF"/>
        <w:sz w:val="32"/>
        <w:szCs w:val="32"/>
      </w:rPr>
      <w:tab/>
    </w:r>
    <w:r>
      <w:rPr>
        <w:rFonts w:asciiTheme="majorHAnsi" w:hAnsiTheme="majorHAnsi"/>
        <w:color w:val="0000FF"/>
        <w:sz w:val="32"/>
        <w:szCs w:val="32"/>
      </w:rPr>
      <w:tab/>
      <w:t>2 Credits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7B"/>
    <w:rsid w:val="002577FC"/>
    <w:rsid w:val="003E3A35"/>
    <w:rsid w:val="004052C2"/>
    <w:rsid w:val="00425DE3"/>
    <w:rsid w:val="004A3B77"/>
    <w:rsid w:val="004C2138"/>
    <w:rsid w:val="00640C7B"/>
    <w:rsid w:val="006F50AD"/>
    <w:rsid w:val="0070411D"/>
    <w:rsid w:val="00765353"/>
    <w:rsid w:val="008B5ADD"/>
    <w:rsid w:val="00A41D99"/>
    <w:rsid w:val="00B344AE"/>
    <w:rsid w:val="00BE0FDF"/>
    <w:rsid w:val="00D76CE4"/>
    <w:rsid w:val="00E66572"/>
    <w:rsid w:val="00E92A6C"/>
    <w:rsid w:val="00EA004A"/>
    <w:rsid w:val="00FC1E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0484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411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C7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C7B"/>
    <w:rPr>
      <w:rFonts w:ascii="Lucida Grande" w:hAnsi="Lucida Grande" w:cs="Lucida Grande"/>
      <w:sz w:val="18"/>
      <w:szCs w:val="18"/>
    </w:rPr>
  </w:style>
  <w:style w:type="paragraph" w:styleId="Header">
    <w:name w:val="header"/>
    <w:basedOn w:val="Normal"/>
    <w:link w:val="HeaderChar"/>
    <w:uiPriority w:val="99"/>
    <w:unhideWhenUsed/>
    <w:rsid w:val="00640C7B"/>
    <w:pPr>
      <w:tabs>
        <w:tab w:val="center" w:pos="4320"/>
        <w:tab w:val="right" w:pos="8640"/>
      </w:tabs>
      <w:spacing w:after="0"/>
    </w:pPr>
  </w:style>
  <w:style w:type="character" w:customStyle="1" w:styleId="HeaderChar">
    <w:name w:val="Header Char"/>
    <w:basedOn w:val="DefaultParagraphFont"/>
    <w:link w:val="Header"/>
    <w:uiPriority w:val="99"/>
    <w:rsid w:val="00640C7B"/>
    <w:rPr>
      <w:sz w:val="24"/>
      <w:szCs w:val="24"/>
    </w:rPr>
  </w:style>
  <w:style w:type="paragraph" w:styleId="Footer">
    <w:name w:val="footer"/>
    <w:basedOn w:val="Normal"/>
    <w:link w:val="FooterChar"/>
    <w:uiPriority w:val="99"/>
    <w:unhideWhenUsed/>
    <w:rsid w:val="00640C7B"/>
    <w:pPr>
      <w:tabs>
        <w:tab w:val="center" w:pos="4320"/>
        <w:tab w:val="right" w:pos="8640"/>
      </w:tabs>
      <w:spacing w:after="0"/>
    </w:pPr>
  </w:style>
  <w:style w:type="character" w:customStyle="1" w:styleId="FooterChar">
    <w:name w:val="Footer Char"/>
    <w:basedOn w:val="DefaultParagraphFont"/>
    <w:link w:val="Footer"/>
    <w:uiPriority w:val="99"/>
    <w:rsid w:val="00640C7B"/>
    <w:rPr>
      <w:sz w:val="24"/>
      <w:szCs w:val="24"/>
    </w:rPr>
  </w:style>
  <w:style w:type="paragraph" w:styleId="ListParagraph">
    <w:name w:val="List Paragraph"/>
    <w:basedOn w:val="Normal"/>
    <w:uiPriority w:val="34"/>
    <w:qFormat/>
    <w:rsid w:val="00A41D99"/>
    <w:pPr>
      <w:ind w:left="720"/>
      <w:contextualSpacing/>
    </w:pPr>
  </w:style>
  <w:style w:type="character" w:styleId="Hyperlink">
    <w:name w:val="Hyperlink"/>
    <w:basedOn w:val="DefaultParagraphFont"/>
    <w:uiPriority w:val="99"/>
    <w:unhideWhenUsed/>
    <w:rsid w:val="00EA004A"/>
    <w:rPr>
      <w:color w:val="0000FF" w:themeColor="hyperlink"/>
      <w:u w:val="single"/>
    </w:rPr>
  </w:style>
  <w:style w:type="paragraph" w:customStyle="1" w:styleId="p1">
    <w:name w:val="p1"/>
    <w:basedOn w:val="Normal"/>
    <w:rsid w:val="00E66572"/>
    <w:pPr>
      <w:spacing w:after="180"/>
      <w:ind w:left="300" w:hanging="300"/>
    </w:pPr>
    <w:rPr>
      <w:rFonts w:ascii="Helvetica" w:hAnsi="Helvetica" w:cs="Times New Roman"/>
      <w:sz w:val="18"/>
      <w:szCs w:val="18"/>
      <w:lang w:eastAsia="en-US"/>
    </w:rPr>
  </w:style>
  <w:style w:type="paragraph" w:styleId="Caption">
    <w:name w:val="caption"/>
    <w:basedOn w:val="Normal"/>
    <w:next w:val="Normal"/>
    <w:uiPriority w:val="35"/>
    <w:unhideWhenUsed/>
    <w:qFormat/>
    <w:rsid w:val="00E92A6C"/>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083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ts760.atmos.colostate.edu/Lectures/02.Photosynthesis.pdf" TargetMode="External"/><Relationship Id="rId20" Type="http://schemas.openxmlformats.org/officeDocument/2006/relationships/hyperlink" Target="http://www.r-project.org/" TargetMode="External"/><Relationship Id="rId21" Type="http://schemas.openxmlformats.org/officeDocument/2006/relationships/hyperlink" Target="http://www.gnu.org/software/octave/" TargetMode="External"/><Relationship Id="rId22" Type="http://schemas.openxmlformats.org/officeDocument/2006/relationships/hyperlink" Target="http://www.amazon.com/Python-Programming-Introduction-Computer-Science/dp/1887902996" TargetMode="External"/><Relationship Id="rId23" Type="http://schemas.openxmlformats.org/officeDocument/2006/relationships/hyperlink" Target="http://www.khanacademy.org/science/computer-science" TargetMode="External"/><Relationship Id="rId24" Type="http://schemas.openxmlformats.org/officeDocument/2006/relationships/hyperlink" Target="http://ats760.atmos.colostate.edu/models/"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ats760.atmos.colostate.edu/Lectures/03.eddy.covariance.pdf" TargetMode="External"/><Relationship Id="rId11" Type="http://schemas.openxmlformats.org/officeDocument/2006/relationships/hyperlink" Target="http://ats760.atmos.colostate.edu/Lectures/04.EcosystemBGC.pdf" TargetMode="External"/><Relationship Id="rId12" Type="http://schemas.openxmlformats.org/officeDocument/2006/relationships/hyperlink" Target="http://ats760.atmos.colostate.edu/Lectures/06.FossilFuel.pdf" TargetMode="External"/><Relationship Id="rId13" Type="http://schemas.openxmlformats.org/officeDocument/2006/relationships/hyperlink" Target="http://ats760.atmos.colostate.edu/Lectures/07.PhysicalOcean.pdf" TargetMode="External"/><Relationship Id="rId14" Type="http://schemas.openxmlformats.org/officeDocument/2006/relationships/hyperlink" Target="http://ats760.atmos.colostate.edu/Lectures/08.ChemicalOcean.pdf" TargetMode="External"/><Relationship Id="rId15" Type="http://schemas.openxmlformats.org/officeDocument/2006/relationships/hyperlink" Target="http://ats760.atmos.colostate.edu/Lectures/09.BiologicalOcean.pdf" TargetMode="External"/><Relationship Id="rId16" Type="http://schemas.openxmlformats.org/officeDocument/2006/relationships/hyperlink" Target="http://ats760.atmos.colostate.edu/Lectures/11.atmos.observations.pdf" TargetMode="External"/><Relationship Id="rId17" Type="http://schemas.openxmlformats.org/officeDocument/2006/relationships/hyperlink" Target="http://ats760.atmos.colostate.edu/Lectures/12.TransportModeling.pdf" TargetMode="External"/><Relationship Id="rId18" Type="http://schemas.openxmlformats.org/officeDocument/2006/relationships/hyperlink" Target="http://denning.atmos.colostate.edu/ats760/Lectures/15.CarbonClimateFeedback.pdf" TargetMode="External"/><Relationship Id="rId19" Type="http://schemas.openxmlformats.org/officeDocument/2006/relationships/hyperlink" Target="http://www.python.or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denning.atmos.colostate.edu/ats760/Lectures/01.Overview.pdf" TargetMode="External"/><Relationship Id="rId8" Type="http://schemas.openxmlformats.org/officeDocument/2006/relationships/hyperlink" Target="http://ats760.atmos.colostate.edu/Readings/01.LeQuere.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1864</Words>
  <Characters>10628</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Denning,Scott</cp:lastModifiedBy>
  <cp:revision>6</cp:revision>
  <dcterms:created xsi:type="dcterms:W3CDTF">2015-08-19T21:18:00Z</dcterms:created>
  <dcterms:modified xsi:type="dcterms:W3CDTF">2017-08-23T14:48:00Z</dcterms:modified>
</cp:coreProperties>
</file>